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40" w:right="0" w:firstLine="0"/>
        <w:jc w:val="center"/>
        <w:rPr>
          <w:sz w:val="44"/>
        </w:rPr>
      </w:pPr>
      <w:r>
        <w:rPr>
          <w:sz w:val="44"/>
        </w:rPr>
        <w:t>青森県景気ウォッチャー調査</w:t>
      </w:r>
    </w:p>
    <w:p>
      <w:pPr>
        <w:spacing w:before="2"/>
        <w:ind w:left="220" w:right="0" w:firstLine="0"/>
        <w:jc w:val="center"/>
        <w:rPr>
          <w:sz w:val="36"/>
        </w:rPr>
      </w:pPr>
      <w:r>
        <w:rPr>
          <w:spacing w:val="-181"/>
          <w:sz w:val="36"/>
        </w:rPr>
        <w:t>（</w:t>
      </w:r>
      <w:r>
        <w:rPr>
          <w:spacing w:val="-44"/>
          <w:sz w:val="36"/>
        </w:rPr>
        <w:t>平成１５年７月期</w:t>
      </w:r>
      <w:r>
        <w:rPr>
          <w:sz w:val="36"/>
        </w:rPr>
        <w:t>）</w:t>
      </w:r>
    </w:p>
    <w:p>
      <w:pPr>
        <w:pStyle w:val="BodyText"/>
        <w:tabs>
          <w:tab w:pos="1139" w:val="left" w:leader="none"/>
          <w:tab w:pos="4782" w:val="left" w:leader="none"/>
        </w:tabs>
        <w:spacing w:before="174"/>
        <w:ind w:left="35"/>
        <w:jc w:val="center"/>
      </w:pPr>
      <w:r>
        <w:rPr/>
        <w:pict>
          <v:shapetype id="_x0000_t202" o:spt="202" coordsize="21600,21600" path="m,l,21600r21600,l21600,xe">
            <v:stroke joinstyle="miter"/>
            <v:path gradientshapeok="t" o:connecttype="rect"/>
          </v:shapetype>
          <v:shape style="position:absolute;margin-left:307.853973pt;margin-top:45.377247pt;width:11.95pt;height:14.8pt;mso-position-horizontal-relative:page;mso-position-vertical-relative:paragraph;z-index:-176320" type="#_x0000_t202" filled="false" stroked="false">
            <v:textbox inset="0,0,0,0">
              <w:txbxContent>
                <w:p>
                  <w:pPr>
                    <w:pStyle w:val="BodyText"/>
                    <w:spacing w:before="1"/>
                  </w:pPr>
                  <w:r>
                    <w:rPr>
                      <w:w w:val="99"/>
                    </w:rPr>
                    <w:t>況</w:t>
                  </w:r>
                </w:p>
              </w:txbxContent>
            </v:textbox>
            <w10:wrap type="none"/>
          </v:shape>
        </w:pict>
      </w:r>
      <w:r>
        <w:rPr/>
        <w:pict>
          <v:shape style="position:absolute;margin-left:269.998291pt;margin-top:45.377247pt;width:11.95pt;height:14.8pt;mso-position-horizontal-relative:page;mso-position-vertical-relative:paragraph;z-index:-176296" type="#_x0000_t202" filled="false" stroked="false">
            <v:textbox inset="0,0,0,0">
              <w:txbxContent>
                <w:p>
                  <w:pPr>
                    <w:pStyle w:val="BodyText"/>
                    <w:spacing w:before="1"/>
                  </w:pPr>
                  <w:r>
                    <w:rPr>
                      <w:w w:val="99"/>
                    </w:rPr>
                    <w:t>概</w:t>
                  </w:r>
                </w:p>
              </w:txbxContent>
            </v:textbox>
            <w10:wrap type="none"/>
          </v:shape>
        </w:pict>
      </w:r>
      <w:r>
        <w:rPr>
          <w:u w:val="single"/>
        </w:rPr>
        <w:t>調査期間</w:t>
        <w:tab/>
        <w:t>平成１５年７月１日～７月２５日</w:t>
        <w:tab/>
        <w:t>回答率</w:t>
      </w:r>
      <w:r>
        <w:rPr>
          <w:spacing w:val="49"/>
          <w:u w:val="single"/>
        </w:rPr>
        <w:t> </w:t>
      </w:r>
      <w:r>
        <w:rPr>
          <w:u w:val="single"/>
        </w:rPr>
        <w:t>９８％</w:t>
      </w:r>
    </w:p>
    <w:p>
      <w:pPr>
        <w:pStyle w:val="BodyText"/>
        <w:rPr>
          <w:sz w:val="20"/>
        </w:rPr>
      </w:pPr>
    </w:p>
    <w:p>
      <w:pPr>
        <w:pStyle w:val="BodyText"/>
        <w:spacing w:before="9"/>
        <w:rPr>
          <w:sz w:val="11"/>
        </w:rPr>
      </w:pPr>
      <w:r>
        <w:rPr/>
        <w:pict>
          <v:rect style="position:absolute;margin-left:66.839996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190" w:firstLine="268"/>
                  </w:pPr>
                  <w:r>
                    <w:rPr>
                      <w:spacing w:val="-20"/>
                      <w:w w:val="99"/>
                    </w:rPr>
                    <w:t>７月期は、現状判断Ｄ</w:t>
                  </w:r>
                  <w:r>
                    <w:rPr>
                      <w:spacing w:val="-39"/>
                      <w:w w:val="99"/>
                    </w:rPr>
                    <w:t>Ｉ、先行き判断ＤＩとも２期連続してポイントが増加したものの、横ばいを示</w:t>
                  </w:r>
                  <w:r>
                    <w:rPr>
                      <w:spacing w:val="-29"/>
                    </w:rPr>
                    <w:t>す５０を依然として下回っている。</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20"/>
        </w:rPr>
      </w:pPr>
    </w:p>
    <w:p>
      <w:pPr>
        <w:pStyle w:val="BodyText"/>
        <w:spacing w:before="10"/>
        <w:rPr>
          <w:sz w:val="13"/>
        </w:rPr>
      </w:pPr>
    </w:p>
    <w:p>
      <w:pPr>
        <w:spacing w:after="0"/>
        <w:rPr>
          <w:sz w:val="13"/>
        </w:rPr>
        <w:sectPr>
          <w:type w:val="continuous"/>
          <w:pgSz w:w="11900" w:h="16840"/>
          <w:pgMar w:top="1500" w:bottom="280" w:left="1000" w:right="1060"/>
        </w:sectPr>
      </w:pPr>
    </w:p>
    <w:p>
      <w:pPr>
        <w:pStyle w:val="BodyText"/>
        <w:rPr>
          <w:sz w:val="24"/>
        </w:rPr>
      </w:pPr>
    </w:p>
    <w:p>
      <w:pPr>
        <w:pStyle w:val="BodyText"/>
        <w:rPr>
          <w:sz w:val="24"/>
        </w:rPr>
      </w:pPr>
    </w:p>
    <w:p>
      <w:pPr>
        <w:pStyle w:val="BodyText"/>
        <w:spacing w:before="2"/>
        <w:rPr>
          <w:sz w:val="29"/>
        </w:rPr>
      </w:pPr>
    </w:p>
    <w:p>
      <w:pPr>
        <w:spacing w:line="204" w:lineRule="auto" w:before="0"/>
        <w:ind w:left="327" w:right="0" w:firstLine="93"/>
        <w:jc w:val="both"/>
        <w:rPr>
          <w:sz w:val="18"/>
        </w:rPr>
      </w:pPr>
      <w:r>
        <w:rPr>
          <w:spacing w:val="-9"/>
          <w:sz w:val="18"/>
        </w:rPr>
        <w:t>良く</w:t>
      </w:r>
      <w:r>
        <w:rPr>
          <w:spacing w:val="-34"/>
          <w:sz w:val="18"/>
        </w:rPr>
        <w:t>なって</w:t>
      </w:r>
      <w:r>
        <w:rPr>
          <w:spacing w:val="-8"/>
          <w:sz w:val="18"/>
        </w:rPr>
        <w:t>いる</w:t>
      </w:r>
    </w:p>
    <w:p>
      <w:pPr>
        <w:spacing w:line="172" w:lineRule="exact" w:before="0"/>
        <w:ind w:left="473" w:right="0" w:firstLine="0"/>
        <w:jc w:val="left"/>
        <w:rPr>
          <w:sz w:val="18"/>
        </w:rPr>
      </w:pPr>
      <w:r>
        <w:rPr>
          <w:w w:val="138"/>
          <w:sz w:val="18"/>
        </w:rPr>
        <w:t>↑</w:t>
      </w:r>
    </w:p>
    <w:p>
      <w:pPr>
        <w:pStyle w:val="BodyText"/>
        <w:spacing w:before="11"/>
        <w:rPr>
          <w:sz w:val="35"/>
        </w:rPr>
      </w:pPr>
      <w:r>
        <w:rPr/>
        <w:br w:type="column"/>
      </w:r>
      <w:r>
        <w:rPr>
          <w:sz w:val="35"/>
        </w:rPr>
      </w:r>
    </w:p>
    <w:p>
      <w:pPr>
        <w:pStyle w:val="BodyText"/>
        <w:ind w:left="-26"/>
      </w:pPr>
      <w:r>
        <w:rPr>
          <w:w w:val="95"/>
        </w:rPr>
        <w:t>100</w:t>
      </w:r>
    </w:p>
    <w:p>
      <w:pPr>
        <w:spacing w:line="437" w:lineRule="exact" w:before="0"/>
        <w:ind w:left="327" w:right="0" w:firstLine="0"/>
        <w:jc w:val="left"/>
        <w:rPr>
          <w:rFonts w:ascii="A-OTF Futo Go B101 Pr6N" w:eastAsia="A-OTF Futo Go B101 Pr6N" w:hint="eastAsia"/>
          <w:b/>
          <w:sz w:val="22"/>
        </w:rPr>
      </w:pPr>
      <w:r>
        <w:rPr/>
        <w:br w:type="column"/>
      </w:r>
      <w:r>
        <w:rPr>
          <w:rFonts w:ascii="A-OTF Futo Go B101 Pr6N" w:eastAsia="A-OTF Futo Go B101 Pr6N" w:hint="eastAsia"/>
          <w:b/>
          <w:sz w:val="22"/>
        </w:rPr>
        <w:t>景気現状判断DI・先行き判断DIの推移</w:t>
      </w:r>
    </w:p>
    <w:p>
      <w:pPr>
        <w:spacing w:after="0" w:line="437" w:lineRule="exact"/>
        <w:jc w:val="left"/>
        <w:rPr>
          <w:rFonts w:ascii="A-OTF Futo Go B101 Pr6N" w:eastAsia="A-OTF Futo Go B101 Pr6N" w:hint="eastAsia"/>
          <w:sz w:val="22"/>
        </w:rPr>
        <w:sectPr>
          <w:type w:val="continuous"/>
          <w:pgSz w:w="11900" w:h="16840"/>
          <w:pgMar w:top="1500" w:bottom="280" w:left="1000" w:right="1060"/>
          <w:cols w:num="3" w:equalWidth="0">
            <w:col w:w="781" w:space="40"/>
            <w:col w:w="346" w:space="1636"/>
            <w:col w:w="7037"/>
          </w:cols>
        </w:sectPr>
      </w:pPr>
    </w:p>
    <w:p>
      <w:pPr>
        <w:spacing w:line="204" w:lineRule="auto" w:before="29"/>
        <w:ind w:left="396" w:right="8987" w:hanging="87"/>
        <w:jc w:val="left"/>
        <w:rPr>
          <w:sz w:val="18"/>
        </w:rPr>
      </w:pPr>
      <w:r>
        <w:rPr/>
        <w:pict>
          <v:shape style="position:absolute;margin-left:95.280602pt;margin-top:3.826614pt;width:11.05pt;height:14.8pt;mso-position-horizontal-relative:page;mso-position-vertical-relative:paragraph;z-index:1792" type="#_x0000_t202" filled="false" stroked="false">
            <v:textbox inset="0,0,0,0">
              <w:txbxContent>
                <w:p>
                  <w:pPr>
                    <w:pStyle w:val="BodyText"/>
                    <w:spacing w:before="1"/>
                  </w:pPr>
                  <w:r>
                    <w:rPr>
                      <w:w w:val="90"/>
                    </w:rPr>
                    <w:t>50</w:t>
                  </w:r>
                </w:p>
              </w:txbxContent>
            </v:textbox>
            <w10:wrap type="none"/>
          </v:shape>
        </w:pict>
      </w:r>
      <w:r>
        <w:rPr>
          <w:spacing w:val="-5"/>
          <w:sz w:val="18"/>
        </w:rPr>
        <w:t>変わら</w:t>
      </w:r>
      <w:r>
        <w:rPr>
          <w:spacing w:val="-15"/>
          <w:sz w:val="18"/>
        </w:rPr>
        <w:t>ない</w:t>
      </w:r>
    </w:p>
    <w:p>
      <w:pPr>
        <w:spacing w:line="204" w:lineRule="auto" w:before="0"/>
        <w:ind w:left="327" w:right="9057" w:firstLine="146"/>
        <w:jc w:val="left"/>
        <w:rPr>
          <w:sz w:val="18"/>
        </w:rPr>
      </w:pPr>
      <w:r>
        <w:rPr>
          <w:w w:val="120"/>
          <w:sz w:val="18"/>
        </w:rPr>
        <w:t>↓ </w:t>
      </w:r>
      <w:r>
        <w:rPr>
          <w:w w:val="105"/>
          <w:sz w:val="18"/>
        </w:rPr>
        <w:t>悪く</w:t>
      </w:r>
      <w:r>
        <w:rPr>
          <w:spacing w:val="-33"/>
          <w:sz w:val="18"/>
        </w:rPr>
        <w:t>なって</w:t>
      </w:r>
      <w:r>
        <w:rPr>
          <w:spacing w:val="-8"/>
          <w:w w:val="105"/>
          <w:sz w:val="18"/>
        </w:rPr>
        <w:t>いる</w:t>
      </w:r>
    </w:p>
    <w:p>
      <w:pPr>
        <w:pStyle w:val="BodyText"/>
        <w:spacing w:before="13"/>
        <w:rPr>
          <w:sz w:val="9"/>
        </w:rPr>
      </w:pPr>
    </w:p>
    <w:p>
      <w:pPr>
        <w:pStyle w:val="BodyText"/>
        <w:spacing w:before="101"/>
        <w:ind w:left="1016"/>
      </w:pPr>
      <w:r>
        <w:rPr>
          <w:w w:val="89"/>
        </w:rPr>
        <w:t>0</w:t>
      </w:r>
    </w:p>
    <w:p>
      <w:pPr>
        <w:pStyle w:val="BodyText"/>
        <w:rPr>
          <w:sz w:val="20"/>
        </w:rPr>
      </w:pPr>
    </w:p>
    <w:p>
      <w:pPr>
        <w:pStyle w:val="BodyText"/>
        <w:rPr>
          <w:sz w:val="20"/>
        </w:rPr>
      </w:pPr>
    </w:p>
    <w:p>
      <w:pPr>
        <w:pStyle w:val="BodyText"/>
        <w:spacing w:before="11"/>
        <w:rPr>
          <w:sz w:val="25"/>
        </w:rPr>
      </w:pPr>
    </w:p>
    <w:p>
      <w:pPr>
        <w:spacing w:before="100"/>
        <w:ind w:left="1356" w:right="0" w:firstLine="0"/>
        <w:jc w:val="left"/>
        <w:rPr>
          <w:sz w:val="20"/>
        </w:rPr>
      </w:pPr>
      <w:r>
        <w:rPr/>
        <w:pict>
          <v:group style="position:absolute;margin-left:113.241402pt;margin-top:-207.832916pt;width:402pt;height:189.6pt;mso-position-horizontal-relative:page;mso-position-vertical-relative:paragraph;z-index:-176344" coordorigin="2265,-4157" coordsize="8040,3792">
            <v:line style="position:absolute" from="2284,-2429" to="10286,-2429" stroked="true" strokeweight=".96pt" strokecolor="#000000">
              <v:stroke dashstyle="solid"/>
            </v:line>
            <v:shape style="position:absolute;left:2284;top:-3548;width:8002;height:2535" coordorigin="2284,-3547" coordsize="8002,2535" path="m2284,-1013l10286,-1013,10286,-3547e" filled="false" stroked="true" strokeweight="1.92pt" strokecolor="#000000">
              <v:path arrowok="t"/>
              <v:stroke dashstyle="solid"/>
            </v:shape>
            <v:line style="position:absolute" from="2284,-3847" to="8070,-3847" stroked="true" strokeweight=".96pt" strokecolor="#000000">
              <v:stroke dashstyle="solid"/>
            </v:line>
            <v:shape style="position:absolute;left:2284;top:-3848;width:5787;height:2835" coordorigin="2284,-3847" coordsize="5787,2835" path="m8070,-3847l2284,-3847,2284,-1013e" filled="false" stroked="true" strokeweight="1.92pt" strokecolor="#000000">
              <v:path arrowok="t"/>
              <v:stroke dashstyle="solid"/>
            </v:shape>
            <v:line style="position:absolute" from="10130,-3847" to="10286,-3847" stroked="true" strokeweight=".96pt" strokecolor="#000000">
              <v:stroke dashstyle="solid"/>
            </v:line>
            <v:shape style="position:absolute;left:10129;top:-3848;width:156;height:300" coordorigin="10130,-3847" coordsize="156,300" path="m10286,-3547l10286,-3847,10130,-3847e" filled="false" stroked="true" strokeweight="1.92pt" strokecolor="#000000">
              <v:path arrowok="t"/>
              <v:stroke dashstyle="solid"/>
            </v:shape>
            <v:shape style="position:absolute;left:2284;top:-3848;width:65;height:2835" coordorigin="2285,-3848" coordsize="65,2835" path="m2285,-3848l2285,-1013,2350,-1013m2285,-2429l2350,-2429m2285,-3848l2350,-3848e" filled="false" stroked="true" strokeweight=".12pt" strokecolor="#000000">
              <v:path arrowok="t"/>
              <v:stroke dashstyle="solid"/>
            </v:shape>
            <v:shape style="position:absolute;left:2284;top:-1067;width:8002;height:53" coordorigin="2285,-1066" coordsize="8002,53" path="m2284,-1013l10286,-1013m2284,-1013l2284,-1065m3172,-1013l3172,-1065m4062,-1013l4062,-1065m4950,-1013l4950,-1065m5841,-1013l5841,-1065m6729,-1013l6729,-1065m7619,-1013l7619,-1065m8507,-1013l8507,-1065m9398,-1013l9398,-1065m10286,-1013l10286,-1065e" filled="false" stroked="true" strokeweight=".96pt" strokecolor="#000000">
              <v:path arrowok="t"/>
              <v:stroke dashstyle="solid"/>
            </v:shape>
            <v:shape style="position:absolute;left:2668;top:-2388;width:7232;height:809" type="#_x0000_t75" stroked="false">
              <v:imagedata r:id="rId5" o:title=""/>
            </v:shape>
            <v:shape style="position:absolute;left:2284;top:-1014;width:8002;height:646" coordorigin="2285,-1013" coordsize="8002,646" path="m3172,-1013l3172,-677m4950,-1013l4950,-677m5841,-1013l5841,-677m6729,-1013l6729,-677m8507,-1013l8507,-677m9398,-1013l9398,-677m2284,-1013l2284,-367m10286,-1013l10286,-367m4062,-1013l4062,-367m7619,-1013l7619,-367e" filled="false" stroked="true" strokeweight=".96pt" strokecolor="#000000">
              <v:path arrowok="t"/>
              <v:stroke dashstyle="solid"/>
            </v:shape>
            <v:rect style="position:absolute;left:8071;top:-4148;width:2057;height:600" filled="true" fillcolor="#ffffff" stroked="false">
              <v:fill type="solid"/>
            </v:rect>
            <v:line style="position:absolute" from="8171,-4008" to="8771,-4008" stroked="true" strokeweight="1.92pt" strokecolor="#000000">
              <v:stroke dashstyle="solid"/>
            </v:line>
            <v:shape style="position:absolute;left:8411;top:-4068;width:118;height:118" type="#_x0000_t75" stroked="false">
              <v:imagedata r:id="rId6" o:title=""/>
            </v:shape>
            <v:shape style="position:absolute;left:8152;top:-3750;width:639;height:41" coordorigin="8153,-3749" coordsize="639,41" path="m8422,-3749l8153,-3747,8153,-3709,8422,-3711,8422,-3749m8791,-3749l8575,-3747,8575,-3709,8791,-3711,8791,-3749e" filled="true" fillcolor="#808080" stroked="false">
              <v:path arrowok="t"/>
              <v:fill type="solid"/>
            </v:shape>
            <v:rect style="position:absolute;left:8421;top:-3779;width:99;height:99" filled="true" fillcolor="#ff00ff" stroked="false">
              <v:fill type="solid"/>
            </v:rect>
            <v:rect style="position:absolute;left:8420;top:-3778;width:99;height:99" filled="false" stroked="true" strokeweight=".96pt" strokecolor="#ff00ff">
              <v:stroke dashstyle="solid"/>
            </v:rect>
            <v:shape style="position:absolute;left:10003;top:-3875;width:182;height:283" type="#_x0000_t202" filled="false" stroked="false">
              <v:textbox inset="0,0,0,0">
                <w:txbxContent>
                  <w:p>
                    <w:pPr>
                      <w:spacing w:before="1"/>
                      <w:ind w:left="0" w:right="0" w:firstLine="0"/>
                      <w:jc w:val="left"/>
                      <w:rPr>
                        <w:sz w:val="21"/>
                      </w:rPr>
                    </w:pPr>
                    <w:r>
                      <w:rPr>
                        <w:spacing w:val="-52"/>
                        <w:w w:val="101"/>
                        <w:sz w:val="21"/>
                      </w:rPr>
                      <w:t>Ｉ</w:t>
                    </w:r>
                  </w:p>
                </w:txbxContent>
              </v:textbox>
              <w10:wrap type="none"/>
            </v:shape>
            <v:shape style="position:absolute;left:5210;top:-2671;width:397;height:296" type="#_x0000_t202" filled="false" stroked="false">
              <v:textbox inset="0,0,0,0">
                <w:txbxContent>
                  <w:p>
                    <w:pPr>
                      <w:spacing w:before="1"/>
                      <w:ind w:left="0" w:right="0" w:firstLine="0"/>
                      <w:jc w:val="left"/>
                      <w:rPr>
                        <w:sz w:val="22"/>
                      </w:rPr>
                    </w:pPr>
                    <w:r>
                      <w:rPr>
                        <w:w w:val="90"/>
                        <w:sz w:val="22"/>
                      </w:rPr>
                      <w:t>43.7</w:t>
                    </w:r>
                  </w:p>
                </w:txbxContent>
              </v:textbox>
              <w10:wrap type="none"/>
            </v:shape>
            <v:shape style="position:absolute;left:6098;top:-2748;width:397;height:296" type="#_x0000_t202" filled="false" stroked="false">
              <v:textbox inset="0,0,0,0">
                <w:txbxContent>
                  <w:p>
                    <w:pPr>
                      <w:spacing w:before="1"/>
                      <w:ind w:left="0" w:right="0" w:firstLine="0"/>
                      <w:jc w:val="left"/>
                      <w:rPr>
                        <w:sz w:val="22"/>
                      </w:rPr>
                    </w:pPr>
                    <w:r>
                      <w:rPr>
                        <w:w w:val="90"/>
                        <w:sz w:val="22"/>
                      </w:rPr>
                      <w:t>46.4</w:t>
                    </w:r>
                  </w:p>
                </w:txbxContent>
              </v:textbox>
              <w10:wrap type="none"/>
            </v:shape>
            <v:shape style="position:absolute;left:9655;top:-2673;width:397;height:296" type="#_x0000_t202" filled="false" stroked="false">
              <v:textbox inset="0,0,0,0">
                <w:txbxContent>
                  <w:p>
                    <w:pPr>
                      <w:spacing w:before="1"/>
                      <w:ind w:left="0" w:right="0" w:firstLine="0"/>
                      <w:jc w:val="left"/>
                      <w:rPr>
                        <w:sz w:val="22"/>
                      </w:rPr>
                    </w:pPr>
                    <w:r>
                      <w:rPr>
                        <w:w w:val="90"/>
                        <w:sz w:val="22"/>
                      </w:rPr>
                      <w:t>43.8</w:t>
                    </w:r>
                  </w:p>
                </w:txbxContent>
              </v:textbox>
              <w10:wrap type="none"/>
            </v:shape>
            <v:shape style="position:absolute;left:2488;top:-916;width:445;height:242" type="#_x0000_t202" filled="false" stroked="false">
              <v:textbox inset="0,0,0,0">
                <w:txbxContent>
                  <w:p>
                    <w:pPr>
                      <w:spacing w:before="0"/>
                      <w:ind w:left="0" w:right="0" w:firstLine="0"/>
                      <w:jc w:val="left"/>
                      <w:rPr>
                        <w:sz w:val="18"/>
                      </w:rPr>
                    </w:pPr>
                    <w:r>
                      <w:rPr>
                        <w:spacing w:val="-37"/>
                        <w:sz w:val="18"/>
                      </w:rPr>
                      <w:t>※７月</w:t>
                    </w:r>
                  </w:p>
                </w:txbxContent>
              </v:textbox>
              <w10:wrap type="none"/>
            </v:shape>
            <v:shape style="position:absolute;left:3408;top:-916;width:388;height:242" type="#_x0000_t202" filled="false" stroked="false">
              <v:textbox inset="0,0,0,0">
                <w:txbxContent>
                  <w:p>
                    <w:pPr>
                      <w:spacing w:before="0"/>
                      <w:ind w:left="0" w:right="0" w:firstLine="0"/>
                      <w:jc w:val="left"/>
                      <w:rPr>
                        <w:sz w:val="18"/>
                      </w:rPr>
                    </w:pPr>
                    <w:r>
                      <w:rPr>
                        <w:spacing w:val="-56"/>
                        <w:sz w:val="18"/>
                      </w:rPr>
                      <w:t>１０月</w:t>
                    </w:r>
                  </w:p>
                </w:txbxContent>
              </v:textbox>
              <w10:wrap type="none"/>
            </v:shape>
            <v:shape style="position:absolute;left:4355;top:-916;width:265;height:242" type="#_x0000_t202" filled="false" stroked="false">
              <v:textbox inset="0,0,0,0">
                <w:txbxContent>
                  <w:p>
                    <w:pPr>
                      <w:spacing w:before="0"/>
                      <w:ind w:left="0" w:right="0" w:firstLine="0"/>
                      <w:jc w:val="left"/>
                      <w:rPr>
                        <w:sz w:val="18"/>
                      </w:rPr>
                    </w:pPr>
                    <w:r>
                      <w:rPr>
                        <w:spacing w:val="-56"/>
                        <w:sz w:val="18"/>
                      </w:rPr>
                      <w:t>１月</w:t>
                    </w:r>
                  </w:p>
                </w:txbxContent>
              </v:textbox>
              <w10:wrap type="none"/>
            </v:shape>
            <v:shape style="position:absolute;left:5246;top:-916;width:265;height:242" type="#_x0000_t202" filled="false" stroked="false">
              <v:textbox inset="0,0,0,0">
                <w:txbxContent>
                  <w:p>
                    <w:pPr>
                      <w:spacing w:before="0"/>
                      <w:ind w:left="0" w:right="0" w:firstLine="0"/>
                      <w:jc w:val="left"/>
                      <w:rPr>
                        <w:sz w:val="18"/>
                      </w:rPr>
                    </w:pPr>
                    <w:r>
                      <w:rPr>
                        <w:spacing w:val="-56"/>
                        <w:sz w:val="18"/>
                      </w:rPr>
                      <w:t>４月</w:t>
                    </w:r>
                  </w:p>
                </w:txbxContent>
              </v:textbox>
              <w10:wrap type="none"/>
            </v:shape>
            <v:shape style="position:absolute;left:6134;top:-916;width:265;height:242" type="#_x0000_t202" filled="false" stroked="false">
              <v:textbox inset="0,0,0,0">
                <w:txbxContent>
                  <w:p>
                    <w:pPr>
                      <w:spacing w:before="0"/>
                      <w:ind w:left="0" w:right="0" w:firstLine="0"/>
                      <w:jc w:val="left"/>
                      <w:rPr>
                        <w:sz w:val="18"/>
                      </w:rPr>
                    </w:pPr>
                    <w:r>
                      <w:rPr>
                        <w:spacing w:val="-56"/>
                        <w:sz w:val="18"/>
                      </w:rPr>
                      <w:t>７月</w:t>
                    </w:r>
                  </w:p>
                </w:txbxContent>
              </v:textbox>
              <w10:wrap type="none"/>
            </v:shape>
            <v:shape style="position:absolute;left:6962;top:-916;width:388;height:242" type="#_x0000_t202" filled="false" stroked="false">
              <v:textbox inset="0,0,0,0">
                <w:txbxContent>
                  <w:p>
                    <w:pPr>
                      <w:spacing w:before="0"/>
                      <w:ind w:left="0" w:right="0" w:firstLine="0"/>
                      <w:jc w:val="left"/>
                      <w:rPr>
                        <w:sz w:val="18"/>
                      </w:rPr>
                    </w:pPr>
                    <w:r>
                      <w:rPr>
                        <w:spacing w:val="-56"/>
                        <w:sz w:val="18"/>
                      </w:rPr>
                      <w:t>１０月</w:t>
                    </w:r>
                  </w:p>
                </w:txbxContent>
              </v:textbox>
              <w10:wrap type="none"/>
            </v:shape>
            <v:shape style="position:absolute;left:7912;top:-916;width:265;height:242" type="#_x0000_t202" filled="false" stroked="false">
              <v:textbox inset="0,0,0,0">
                <w:txbxContent>
                  <w:p>
                    <w:pPr>
                      <w:spacing w:before="0"/>
                      <w:ind w:left="0" w:right="0" w:firstLine="0"/>
                      <w:jc w:val="left"/>
                      <w:rPr>
                        <w:sz w:val="18"/>
                      </w:rPr>
                    </w:pPr>
                    <w:r>
                      <w:rPr>
                        <w:spacing w:val="-56"/>
                        <w:sz w:val="18"/>
                      </w:rPr>
                      <w:t>１月</w:t>
                    </w:r>
                  </w:p>
                </w:txbxContent>
              </v:textbox>
              <w10:wrap type="none"/>
            </v:shape>
            <v:shape style="position:absolute;left:2781;top:-606;width:3416;height:242" type="#_x0000_t202" filled="false" stroked="false">
              <v:textbox inset="0,0,0,0">
                <w:txbxContent>
                  <w:p>
                    <w:pPr>
                      <w:tabs>
                        <w:tab w:pos="2668" w:val="left" w:leader="none"/>
                      </w:tabs>
                      <w:spacing w:before="0"/>
                      <w:ind w:left="0" w:right="0" w:firstLine="0"/>
                      <w:jc w:val="left"/>
                      <w:rPr>
                        <w:sz w:val="18"/>
                      </w:rPr>
                    </w:pPr>
                    <w:r>
                      <w:rPr>
                        <w:sz w:val="18"/>
                      </w:rPr>
                      <w:t>平成</w:t>
                    </w:r>
                    <w:r>
                      <w:rPr>
                        <w:spacing w:val="-56"/>
                        <w:sz w:val="18"/>
                      </w:rPr>
                      <w:t>１３</w:t>
                    </w:r>
                    <w:r>
                      <w:rPr>
                        <w:sz w:val="18"/>
                      </w:rPr>
                      <w:t>年</w:t>
                      <w:tab/>
                      <w:t>平成</w:t>
                    </w:r>
                    <w:r>
                      <w:rPr>
                        <w:spacing w:val="-56"/>
                        <w:sz w:val="18"/>
                      </w:rPr>
                      <w:t>１４年</w:t>
                    </w:r>
                  </w:p>
                </w:txbxContent>
              </v:textbox>
              <w10:wrap type="none"/>
            </v:shape>
            <v:shape style="position:absolute;left:8560;top:-916;width:748;height:551" type="#_x0000_t202" filled="false" stroked="false">
              <v:textbox inset="0,0,0,0">
                <w:txbxContent>
                  <w:p>
                    <w:pPr>
                      <w:spacing w:before="0"/>
                      <w:ind w:left="0" w:right="20" w:firstLine="0"/>
                      <w:jc w:val="center"/>
                      <w:rPr>
                        <w:sz w:val="18"/>
                      </w:rPr>
                    </w:pPr>
                    <w:r>
                      <w:rPr>
                        <w:spacing w:val="-56"/>
                        <w:sz w:val="18"/>
                      </w:rPr>
                      <w:t>４月</w:t>
                    </w:r>
                  </w:p>
                  <w:p>
                    <w:pPr>
                      <w:spacing w:before="68"/>
                      <w:ind w:left="0" w:right="18" w:firstLine="0"/>
                      <w:jc w:val="center"/>
                      <w:rPr>
                        <w:sz w:val="18"/>
                      </w:rPr>
                    </w:pPr>
                    <w:r>
                      <w:rPr>
                        <w:spacing w:val="-37"/>
                        <w:sz w:val="18"/>
                      </w:rPr>
                      <w:t>平成１５年</w:t>
                    </w:r>
                  </w:p>
                </w:txbxContent>
              </v:textbox>
              <w10:wrap type="none"/>
            </v:shape>
            <v:shape style="position:absolute;left:9691;top:-916;width:265;height:242" type="#_x0000_t202" filled="false" stroked="false">
              <v:textbox inset="0,0,0,0">
                <w:txbxContent>
                  <w:p>
                    <w:pPr>
                      <w:spacing w:before="0"/>
                      <w:ind w:left="0" w:right="0" w:firstLine="0"/>
                      <w:jc w:val="left"/>
                      <w:rPr>
                        <w:sz w:val="18"/>
                      </w:rPr>
                    </w:pPr>
                    <w:r>
                      <w:rPr>
                        <w:spacing w:val="-56"/>
                        <w:sz w:val="18"/>
                      </w:rPr>
                      <w:t>７月</w:t>
                    </w:r>
                  </w:p>
                </w:txbxContent>
              </v:textbox>
              <w10:wrap type="none"/>
            </v:shape>
            <v:shape style="position:absolute;left:4286;top:-1684;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3398;top:-1548;width:397;height:296" type="#_x0000_t202" filled="false" stroked="false">
              <v:textbox inset="0,0,0,0">
                <w:txbxContent>
                  <w:p>
                    <w:pPr>
                      <w:spacing w:before="1"/>
                      <w:ind w:left="0" w:right="0" w:firstLine="0"/>
                      <w:jc w:val="left"/>
                      <w:rPr>
                        <w:sz w:val="22"/>
                      </w:rPr>
                    </w:pPr>
                    <w:r>
                      <w:rPr>
                        <w:w w:val="90"/>
                        <w:sz w:val="22"/>
                      </w:rPr>
                      <w:t>22.0</w:t>
                    </w:r>
                  </w:p>
                </w:txbxContent>
              </v:textbox>
              <w10:wrap type="none"/>
            </v:shape>
            <v:shape style="position:absolute;left:9621;top:-1960;width:397;height:296" type="#_x0000_t202" filled="false" stroked="false">
              <v:textbox inset="0,0,0,0">
                <w:txbxContent>
                  <w:p>
                    <w:pPr>
                      <w:spacing w:before="1"/>
                      <w:ind w:left="0" w:right="0" w:firstLine="0"/>
                      <w:jc w:val="left"/>
                      <w:rPr>
                        <w:sz w:val="22"/>
                      </w:rPr>
                    </w:pPr>
                    <w:r>
                      <w:rPr>
                        <w:w w:val="90"/>
                        <w:sz w:val="22"/>
                      </w:rPr>
                      <w:t>36.6</w:t>
                    </w:r>
                  </w:p>
                </w:txbxContent>
              </v:textbox>
              <w10:wrap type="none"/>
            </v:shape>
            <v:shape style="position:absolute;left:8731;top:-2498;width:431;height:899" type="#_x0000_t202" filled="false" stroked="false">
              <v:textbox inset="0,0,0,0">
                <w:txbxContent>
                  <w:p>
                    <w:pPr>
                      <w:spacing w:before="1"/>
                      <w:ind w:left="33" w:right="0" w:firstLine="0"/>
                      <w:jc w:val="left"/>
                      <w:rPr>
                        <w:sz w:val="22"/>
                      </w:rPr>
                    </w:pPr>
                    <w:r>
                      <w:rPr>
                        <w:w w:val="90"/>
                        <w:sz w:val="22"/>
                      </w:rPr>
                      <w:t>37.6</w:t>
                    </w:r>
                  </w:p>
                  <w:p>
                    <w:pPr>
                      <w:spacing w:line="240" w:lineRule="auto" w:before="12"/>
                      <w:rPr>
                        <w:sz w:val="22"/>
                      </w:rPr>
                    </w:pPr>
                  </w:p>
                  <w:p>
                    <w:pPr>
                      <w:spacing w:before="0"/>
                      <w:ind w:left="0" w:right="0" w:firstLine="0"/>
                      <w:jc w:val="left"/>
                      <w:rPr>
                        <w:sz w:val="22"/>
                      </w:rPr>
                    </w:pPr>
                    <w:r>
                      <w:rPr>
                        <w:w w:val="95"/>
                        <w:sz w:val="22"/>
                      </w:rPr>
                      <w:t>34.3</w:t>
                    </w:r>
                  </w:p>
                </w:txbxContent>
              </v:textbox>
              <w10:wrap type="none"/>
            </v:shape>
            <v:shape style="position:absolute;left:7843;top:-2390;width:431;height:796" type="#_x0000_t202" filled="false" stroked="false">
              <v:textbox inset="0,0,0,0">
                <w:txbxContent>
                  <w:p>
                    <w:pPr>
                      <w:spacing w:before="1"/>
                      <w:ind w:left="33" w:right="0" w:firstLine="0"/>
                      <w:jc w:val="left"/>
                      <w:rPr>
                        <w:sz w:val="22"/>
                      </w:rPr>
                    </w:pPr>
                    <w:r>
                      <w:rPr>
                        <w:w w:val="90"/>
                        <w:sz w:val="22"/>
                      </w:rPr>
                      <w:t>33.8</w:t>
                    </w:r>
                  </w:p>
                  <w:p>
                    <w:pPr>
                      <w:spacing w:before="204"/>
                      <w:ind w:left="0" w:right="0" w:firstLine="0"/>
                      <w:jc w:val="left"/>
                      <w:rPr>
                        <w:sz w:val="22"/>
                      </w:rPr>
                    </w:pPr>
                    <w:r>
                      <w:rPr>
                        <w:w w:val="95"/>
                        <w:sz w:val="22"/>
                      </w:rPr>
                      <w:t>34.1</w:t>
                    </w:r>
                  </w:p>
                </w:txbxContent>
              </v:textbox>
              <w10:wrap type="none"/>
            </v:shape>
            <v:shape style="position:absolute;left:6952;top:-2472;width:431;height:841" type="#_x0000_t202" filled="false" stroked="false">
              <v:textbox inset="0,0,0,0">
                <w:txbxContent>
                  <w:p>
                    <w:pPr>
                      <w:spacing w:before="1"/>
                      <w:ind w:left="33" w:right="0" w:firstLine="0"/>
                      <w:jc w:val="left"/>
                      <w:rPr>
                        <w:sz w:val="22"/>
                      </w:rPr>
                    </w:pPr>
                    <w:r>
                      <w:rPr>
                        <w:w w:val="90"/>
                        <w:sz w:val="22"/>
                      </w:rPr>
                      <w:t>36.7</w:t>
                    </w:r>
                  </w:p>
                  <w:p>
                    <w:pPr>
                      <w:spacing w:before="250"/>
                      <w:ind w:left="0" w:right="0" w:firstLine="0"/>
                      <w:jc w:val="left"/>
                      <w:rPr>
                        <w:sz w:val="22"/>
                      </w:rPr>
                    </w:pPr>
                    <w:r>
                      <w:rPr>
                        <w:w w:val="95"/>
                        <w:sz w:val="22"/>
                      </w:rPr>
                      <w:t>35.4</w:t>
                    </w:r>
                  </w:p>
                </w:txbxContent>
              </v:textbox>
              <w10:wrap type="none"/>
            </v:shape>
            <v:shape style="position:absolute;left:6064;top:-2133;width:397;height:296" type="#_x0000_t202" filled="false" stroked="false">
              <v:textbox inset="0,0,0,0">
                <w:txbxContent>
                  <w:p>
                    <w:pPr>
                      <w:spacing w:before="1"/>
                      <w:ind w:left="0" w:right="0" w:firstLine="0"/>
                      <w:jc w:val="left"/>
                      <w:rPr>
                        <w:sz w:val="22"/>
                      </w:rPr>
                    </w:pPr>
                    <w:r>
                      <w:rPr>
                        <w:w w:val="90"/>
                        <w:sz w:val="22"/>
                      </w:rPr>
                      <w:t>42.7</w:t>
                    </w:r>
                  </w:p>
                </w:txbxContent>
              </v:textbox>
              <w10:wrap type="none"/>
            </v:shape>
            <v:shape style="position:absolute;left:5176;top:-1989;width:397;height:296" type="#_x0000_t202" filled="false" stroked="false">
              <v:textbox inset="0,0,0,0">
                <w:txbxContent>
                  <w:p>
                    <w:pPr>
                      <w:spacing w:before="1"/>
                      <w:ind w:left="0" w:right="0" w:firstLine="0"/>
                      <w:jc w:val="left"/>
                      <w:rPr>
                        <w:sz w:val="22"/>
                      </w:rPr>
                    </w:pPr>
                    <w:r>
                      <w:rPr>
                        <w:w w:val="90"/>
                        <w:sz w:val="22"/>
                      </w:rPr>
                      <w:t>37.6</w:t>
                    </w:r>
                  </w:p>
                </w:txbxContent>
              </v:textbox>
              <w10:wrap type="none"/>
            </v:shape>
            <v:shape style="position:absolute;left:2508;top:-1740;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4320;top:-2354;width:397;height:296" type="#_x0000_t202" filled="false" stroked="false">
              <v:textbox inset="0,0,0,0">
                <w:txbxContent>
                  <w:p>
                    <w:pPr>
                      <w:spacing w:before="1"/>
                      <w:ind w:left="0" w:right="0" w:firstLine="0"/>
                      <w:jc w:val="left"/>
                      <w:rPr>
                        <w:sz w:val="22"/>
                      </w:rPr>
                    </w:pPr>
                    <w:r>
                      <w:rPr>
                        <w:w w:val="90"/>
                        <w:sz w:val="22"/>
                      </w:rPr>
                      <w:t>32.5</w:t>
                    </w:r>
                  </w:p>
                </w:txbxContent>
              </v:textbox>
              <w10:wrap type="none"/>
            </v:shape>
            <v:shape style="position:absolute;left:3432;top:-2248;width:397;height:296" type="#_x0000_t202" filled="false" stroked="false">
              <v:textbox inset="0,0,0,0">
                <w:txbxContent>
                  <w:p>
                    <w:pPr>
                      <w:spacing w:before="1"/>
                      <w:ind w:left="0" w:right="0" w:firstLine="0"/>
                      <w:jc w:val="left"/>
                      <w:rPr>
                        <w:sz w:val="22"/>
                      </w:rPr>
                    </w:pPr>
                    <w:r>
                      <w:rPr>
                        <w:w w:val="90"/>
                        <w:sz w:val="22"/>
                      </w:rPr>
                      <w:t>28.8</w:t>
                    </w:r>
                  </w:p>
                </w:txbxContent>
              </v:textbox>
              <w10:wrap type="none"/>
            </v:shape>
            <v:shape style="position:absolute;left:2541;top:-2409;width:397;height:296" type="#_x0000_t202" filled="false" stroked="false">
              <v:textbox inset="0,0,0,0">
                <w:txbxContent>
                  <w:p>
                    <w:pPr>
                      <w:spacing w:before="1"/>
                      <w:ind w:left="0" w:right="0" w:firstLine="0"/>
                      <w:jc w:val="left"/>
                      <w:rPr>
                        <w:sz w:val="22"/>
                      </w:rPr>
                    </w:pPr>
                    <w:r>
                      <w:rPr>
                        <w:w w:val="90"/>
                        <w:sz w:val="22"/>
                      </w:rPr>
                      <w:t>34.5</w:t>
                    </w:r>
                  </w:p>
                </w:txbxContent>
              </v:textbox>
              <w10:wrap type="none"/>
            </v:shape>
            <v:shape style="position:absolute;left:8070;top:-4148;width:2057;height:600" type="#_x0000_t202" filled="false" stroked="true" strokeweight=".96pt" strokecolor="#000000">
              <v:textbox inset="0,0,0,0">
                <w:txbxContent>
                  <w:p>
                    <w:pPr>
                      <w:spacing w:line="265" w:lineRule="exact" w:before="0"/>
                      <w:ind w:left="739" w:right="0" w:firstLine="0"/>
                      <w:jc w:val="left"/>
                      <w:rPr>
                        <w:sz w:val="21"/>
                      </w:rPr>
                    </w:pPr>
                    <w:r>
                      <w:rPr>
                        <w:spacing w:val="-19"/>
                        <w:sz w:val="21"/>
                      </w:rPr>
                      <w:t>現状判断ＤＩ</w:t>
                    </w:r>
                  </w:p>
                  <w:p>
                    <w:pPr>
                      <w:spacing w:line="281" w:lineRule="exact" w:before="0"/>
                      <w:ind w:left="739" w:right="0" w:firstLine="0"/>
                      <w:jc w:val="left"/>
                      <w:rPr>
                        <w:sz w:val="21"/>
                      </w:rPr>
                    </w:pPr>
                    <w:r>
                      <w:rPr>
                        <w:spacing w:val="-17"/>
                        <w:sz w:val="21"/>
                      </w:rPr>
                      <w:t>先行き判断Ｄ</w:t>
                    </w:r>
                  </w:p>
                </w:txbxContent>
              </v:textbox>
              <v:stroke dashstyle="solid"/>
              <w10:wrap type="none"/>
            </v:shape>
            <w10:wrap type="none"/>
          </v:group>
        </w:pict>
      </w: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99"/>
        <w:ind w:left="2060" w:right="2118" w:firstLine="0"/>
        <w:jc w:val="center"/>
        <w:rPr>
          <w:sz w:val="32"/>
        </w:rPr>
      </w:pPr>
      <w:r>
        <w:rPr>
          <w:spacing w:val="-61"/>
          <w:sz w:val="32"/>
        </w:rPr>
        <w:t>平成１５年７月</w:t>
      </w:r>
    </w:p>
    <w:p>
      <w:pPr>
        <w:spacing w:before="126"/>
        <w:ind w:left="35" w:right="0" w:firstLine="0"/>
        <w:jc w:val="center"/>
        <w:rPr>
          <w:sz w:val="36"/>
        </w:rPr>
      </w:pPr>
      <w:r>
        <w:rPr>
          <w:sz w:val="36"/>
        </w:rPr>
        <w:t>青森県企画振興部統計情報課</w:t>
      </w:r>
    </w:p>
    <w:p>
      <w:pPr>
        <w:spacing w:after="0"/>
        <w:jc w:val="center"/>
        <w:rPr>
          <w:sz w:val="36"/>
        </w:rPr>
        <w:sectPr>
          <w:type w:val="continuous"/>
          <w:pgSz w:w="11900" w:h="16840"/>
          <w:pgMar w:top="1500" w:bottom="280" w:left="1000" w:right="1060"/>
        </w:sectPr>
      </w:pPr>
    </w:p>
    <w:p>
      <w:pPr>
        <w:pStyle w:val="Heading1"/>
        <w:spacing w:before="87"/>
        <w:ind w:left="2566"/>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28"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1"/>
      </w:pPr>
      <w:r>
        <w:rPr/>
        <w:t>（１）調査の範囲</w:t>
      </w:r>
    </w:p>
    <w:p>
      <w:pPr>
        <w:pStyle w:val="BodyText"/>
        <w:spacing w:line="328" w:lineRule="auto" w:before="58"/>
        <w:ind w:left="598" w:right="628"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10"/>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92"/>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3"/>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2"/>
      </w:pPr>
      <w:r>
        <w:rPr/>
        <w:t>（３）調査期日等</w:t>
      </w:r>
    </w:p>
    <w:p>
      <w:pPr>
        <w:pStyle w:val="BodyText"/>
        <w:spacing w:before="58"/>
        <w:ind w:left="819"/>
      </w:pPr>
      <w:r>
        <w:rPr/>
        <w:t>四半期に一度（１月、４月、７月、１０月）実施し、翌月初旬に公表。</w:t>
      </w:r>
    </w:p>
    <w:p>
      <w:pPr>
        <w:pStyle w:val="BodyText"/>
        <w:spacing w:before="248"/>
        <w:ind w:left="185"/>
      </w:pPr>
      <w:r>
        <w:rPr/>
        <w:t>３．ＤＩの算出方法</w:t>
      </w:r>
    </w:p>
    <w:p>
      <w:pPr>
        <w:pStyle w:val="BodyText"/>
        <w:spacing w:line="304" w:lineRule="auto" w:before="84" w:after="34"/>
        <w:ind w:left="598" w:right="849"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8"/>
        <w:gridCol w:w="1397"/>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w w:val="105"/>
                <w:sz w:val="22"/>
              </w:rPr>
              <w:t>評 価</w:t>
            </w:r>
          </w:p>
        </w:tc>
        <w:tc>
          <w:tcPr>
            <w:tcW w:w="1398" w:type="dxa"/>
            <w:tcBorders>
              <w:bottom w:val="single" w:sz="8" w:space="0" w:color="000000"/>
            </w:tcBorders>
          </w:tcPr>
          <w:p>
            <w:pPr>
              <w:pStyle w:val="TableParagraph"/>
              <w:spacing w:line="201" w:lineRule="auto" w:before="90"/>
              <w:ind w:left="465" w:right="14" w:hanging="382"/>
              <w:jc w:val="left"/>
              <w:rPr>
                <w:sz w:val="17"/>
              </w:rPr>
            </w:pPr>
            <w:r>
              <w:rPr>
                <w:sz w:val="17"/>
              </w:rPr>
              <w:t>良 く な っ てい る  </w:t>
            </w:r>
          </w:p>
        </w:tc>
        <w:tc>
          <w:tcPr>
            <w:tcW w:w="1397" w:type="dxa"/>
            <w:tcBorders>
              <w:bottom w:val="single" w:sz="8" w:space="0" w:color="000000"/>
            </w:tcBorders>
          </w:tcPr>
          <w:p>
            <w:pPr>
              <w:pStyle w:val="TableParagraph"/>
              <w:spacing w:line="194" w:lineRule="exact"/>
              <w:ind w:left="462"/>
              <w:jc w:val="left"/>
              <w:rPr>
                <w:sz w:val="17"/>
              </w:rPr>
            </w:pPr>
            <w:r>
              <w:rPr>
                <w:sz w:val="17"/>
              </w:rPr>
              <w:t>や や  </w:t>
            </w:r>
          </w:p>
          <w:p>
            <w:pPr>
              <w:pStyle w:val="TableParagraph"/>
              <w:spacing w:line="192" w:lineRule="exact" w:before="20"/>
              <w:ind w:left="82" w:right="17"/>
              <w:jc w:val="center"/>
              <w:rPr>
                <w:sz w:val="17"/>
              </w:rPr>
            </w:pPr>
            <w:r>
              <w:rPr>
                <w:sz w:val="17"/>
              </w:rPr>
              <w:t>良 く な っ てい る  </w:t>
            </w:r>
          </w:p>
        </w:tc>
        <w:tc>
          <w:tcPr>
            <w:tcW w:w="1398" w:type="dxa"/>
            <w:tcBorders>
              <w:bottom w:val="single" w:sz="8" w:space="0" w:color="000000"/>
            </w:tcBorders>
          </w:tcPr>
          <w:p>
            <w:pPr>
              <w:pStyle w:val="TableParagraph"/>
              <w:spacing w:line="240" w:lineRule="auto" w:before="157"/>
              <w:ind w:right="18"/>
              <w:rPr>
                <w:sz w:val="17"/>
              </w:rPr>
            </w:pPr>
            <w:r>
              <w:rPr>
                <w:sz w:val="17"/>
              </w:rPr>
              <w:t>変 わ ら な い  </w:t>
            </w:r>
          </w:p>
        </w:tc>
        <w:tc>
          <w:tcPr>
            <w:tcW w:w="1397" w:type="dxa"/>
            <w:tcBorders>
              <w:bottom w:val="single" w:sz="8" w:space="0" w:color="000000"/>
            </w:tcBorders>
          </w:tcPr>
          <w:p>
            <w:pPr>
              <w:pStyle w:val="TableParagraph"/>
              <w:spacing w:line="194" w:lineRule="exact"/>
              <w:ind w:left="460"/>
              <w:jc w:val="left"/>
              <w:rPr>
                <w:sz w:val="17"/>
              </w:rPr>
            </w:pPr>
            <w:r>
              <w:rPr>
                <w:sz w:val="17"/>
              </w:rPr>
              <w:t>や や  </w:t>
            </w:r>
          </w:p>
          <w:p>
            <w:pPr>
              <w:pStyle w:val="TableParagraph"/>
              <w:spacing w:line="192" w:lineRule="exact" w:before="20"/>
              <w:ind w:left="81" w:right="18"/>
              <w:jc w:val="center"/>
              <w:rPr>
                <w:sz w:val="17"/>
              </w:rPr>
            </w:pPr>
            <w:r>
              <w:rPr>
                <w:sz w:val="17"/>
              </w:rPr>
              <w:t>悪 く な っ てい る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w w:val="105"/>
                <w:sz w:val="22"/>
              </w:rPr>
              <w:t>点 数</w:t>
            </w:r>
          </w:p>
        </w:tc>
        <w:tc>
          <w:tcPr>
            <w:tcW w:w="1398" w:type="dxa"/>
            <w:tcBorders>
              <w:top w:val="single" w:sz="8" w:space="0" w:color="000000"/>
            </w:tcBorders>
          </w:tcPr>
          <w:p>
            <w:pPr>
              <w:pStyle w:val="TableParagraph"/>
              <w:spacing w:line="240" w:lineRule="auto" w:before="37"/>
              <w:ind w:right="50"/>
              <w:rPr>
                <w:sz w:val="22"/>
              </w:rPr>
            </w:pPr>
            <w:r>
              <w:rPr>
                <w:w w:val="92"/>
                <w:sz w:val="22"/>
              </w:rPr>
              <w:t>1</w:t>
            </w:r>
          </w:p>
        </w:tc>
        <w:tc>
          <w:tcPr>
            <w:tcW w:w="1397" w:type="dxa"/>
            <w:tcBorders>
              <w:top w:val="single" w:sz="8" w:space="0" w:color="000000"/>
            </w:tcBorders>
          </w:tcPr>
          <w:p>
            <w:pPr>
              <w:pStyle w:val="TableParagraph"/>
              <w:spacing w:line="240" w:lineRule="auto" w:before="37"/>
              <w:ind w:left="694" w:right="-15"/>
              <w:jc w:val="left"/>
              <w:rPr>
                <w:sz w:val="22"/>
              </w:rPr>
            </w:pPr>
            <w:r>
              <w:rPr>
                <w:spacing w:val="42"/>
                <w:w w:val="105"/>
                <w:sz w:val="22"/>
              </w:rPr>
              <w:t>0.75</w:t>
            </w:r>
            <w:r>
              <w:rPr>
                <w:spacing w:val="-5"/>
                <w:sz w:val="22"/>
              </w:rPr>
              <w:t> </w:t>
            </w:r>
          </w:p>
        </w:tc>
        <w:tc>
          <w:tcPr>
            <w:tcW w:w="1398" w:type="dxa"/>
            <w:tcBorders>
              <w:top w:val="single" w:sz="8" w:space="0" w:color="000000"/>
            </w:tcBorders>
          </w:tcPr>
          <w:p>
            <w:pPr>
              <w:pStyle w:val="TableParagraph"/>
              <w:spacing w:line="240" w:lineRule="auto" w:before="37"/>
              <w:ind w:right="-15"/>
              <w:rPr>
                <w:sz w:val="22"/>
              </w:rPr>
            </w:pPr>
            <w:r>
              <w:rPr>
                <w:w w:val="110"/>
                <w:sz w:val="22"/>
              </w:rPr>
              <w:t>0.5</w:t>
            </w:r>
            <w:r>
              <w:rPr>
                <w:sz w:val="22"/>
              </w:rPr>
              <w:t> </w:t>
            </w:r>
          </w:p>
        </w:tc>
        <w:tc>
          <w:tcPr>
            <w:tcW w:w="1397" w:type="dxa"/>
            <w:tcBorders>
              <w:top w:val="single" w:sz="8" w:space="0" w:color="000000"/>
            </w:tcBorders>
          </w:tcPr>
          <w:p>
            <w:pPr>
              <w:pStyle w:val="TableParagraph"/>
              <w:spacing w:line="240" w:lineRule="auto" w:before="37"/>
              <w:ind w:left="693" w:right="-15"/>
              <w:jc w:val="left"/>
              <w:rPr>
                <w:sz w:val="22"/>
              </w:rPr>
            </w:pPr>
            <w:r>
              <w:rPr>
                <w:spacing w:val="41"/>
                <w:w w:val="105"/>
                <w:sz w:val="22"/>
              </w:rPr>
              <w:t>0.25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2"/>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 w:pos="2806" w:val="left" w:leader="none"/>
        </w:tabs>
        <w:spacing w:line="199" w:lineRule="auto" w:before="57"/>
        <w:ind w:left="1923" w:right="1732" w:hanging="1325"/>
      </w:pPr>
      <w:r>
        <w:rPr/>
        <w:t>〒030-8570</w:t>
        <w:tab/>
        <w:t>青森県企画振興部統計情報課</w:t>
      </w:r>
      <w:r>
        <w:rPr>
          <w:spacing w:val="59"/>
        </w:rPr>
        <w:t> </w:t>
      </w:r>
      <w:r>
        <w:rPr/>
        <w:t>統計情報分析・利活用グループＴＥＬ</w:t>
        <w:tab/>
      </w:r>
      <w:r>
        <w:rPr>
          <w:w w:val="95"/>
        </w:rPr>
        <w:t>017-734-9166（直通）又は017-722-1111（内線</w:t>
      </w:r>
      <w:r>
        <w:rPr>
          <w:spacing w:val="-4"/>
          <w:w w:val="95"/>
        </w:rPr>
        <w:t>2179） </w:t>
      </w:r>
      <w:r>
        <w:rPr/>
        <w:t>ＦＡＸ</w:t>
        <w:tab/>
        <w:t>017-734-8038</w:t>
      </w:r>
    </w:p>
    <w:p>
      <w:pPr>
        <w:spacing w:after="0" w:line="199" w:lineRule="auto"/>
        <w:sectPr>
          <w:footerReference w:type="default" r:id="rId7"/>
          <w:pgSz w:w="11900" w:h="16840"/>
          <w:pgMar w:footer="847" w:header="0" w:top="1300" w:bottom="1040" w:left="1000" w:right="1060"/>
        </w:sectPr>
      </w:pPr>
    </w:p>
    <w:p>
      <w:pPr>
        <w:pStyle w:val="Heading1"/>
        <w:spacing w:before="79"/>
      </w:pPr>
      <w:r>
        <w:rPr/>
        <w:t>１．結果概要</w:t>
      </w:r>
    </w:p>
    <w:p>
      <w:pPr>
        <w:pStyle w:val="Heading3"/>
        <w:spacing w:before="301"/>
        <w:ind w:left="132"/>
      </w:pPr>
      <w:r>
        <w:rPr/>
        <w:t>（１）３か月前と比べた景気の現状判断ＤＩ</w:t>
      </w:r>
    </w:p>
    <w:p>
      <w:pPr>
        <w:spacing w:before="0"/>
        <w:ind w:left="216" w:right="0" w:firstLine="0"/>
        <w:jc w:val="left"/>
        <w:rPr>
          <w:sz w:val="24"/>
        </w:rPr>
      </w:pPr>
      <w:r>
        <w:rPr/>
        <w:pict>
          <v:group style="position:absolute;margin-left:55.68pt;margin-top:.346179pt;width:483.75pt;height:263.9pt;mso-position-horizontal-relative:page;mso-position-vertical-relative:paragraph;z-index:-176248" coordorigin="1114,7" coordsize="9675,5278">
            <v:rect style="position:absolute;left:1113;top:6;width:10;height:10" filled="true" fillcolor="#000000" stroked="false">
              <v:fill type="solid"/>
            </v:rect>
            <v:line style="position:absolute" from="1123,12" to="10778,12" stroked="true" strokeweight=".48pt" strokecolor="#000000">
              <v:stroke dashstyle="solid"/>
            </v:line>
            <v:rect style="position:absolute;left:10778;top:6;width:10;height:10" filled="true" fillcolor="#000000" stroked="false">
              <v:fill type="solid"/>
            </v:rect>
            <v:line style="position:absolute" from="1118,17" to="1118,2349" stroked="true" strokeweight=".48pt" strokecolor="#000000">
              <v:stroke dashstyle="solid"/>
            </v:line>
            <v:shape style="position:absolute;left:1113;top:2349;width:9665;height:10" type="#_x0000_t75" stroked="false">
              <v:imagedata r:id="rId9" o:title=""/>
            </v:shape>
            <v:line style="position:absolute" from="1118,2359" to="1118,3813" stroked="true" strokeweight=".48pt" strokecolor="#000000">
              <v:stroke dashstyle="solid"/>
            </v:line>
            <v:shape style="position:absolute;left:1113;top:3813;width:9665;height:10" type="#_x0000_t75" stroked="false">
              <v:imagedata r:id="rId9" o:title=""/>
            </v:shape>
            <v:line style="position:absolute" from="1118,3823" to="1118,5285" stroked="true" strokeweight=".48pt" strokecolor="#000000">
              <v:stroke dashstyle="solid"/>
            </v:line>
            <v:shape style="position:absolute;left:1123;top:16;width:9660;height:5268" coordorigin="1123,17" coordsize="9660,5268" path="m1123,5280l10778,5280m10783,17l10783,5285e" filled="false" stroked="true" strokeweight=".48pt" strokecolor="#000000">
              <v:path arrowok="t"/>
              <v:stroke dashstyle="solid"/>
            </v:shape>
            <w10:wrap type="none"/>
          </v:group>
        </w:pict>
      </w:r>
      <w:r>
        <w:rPr>
          <w:sz w:val="24"/>
        </w:rPr>
        <w:t>① 県全体の動向</w:t>
      </w:r>
    </w:p>
    <w:p>
      <w:pPr>
        <w:pStyle w:val="BodyText"/>
        <w:spacing w:line="290" w:lineRule="exact" w:before="273"/>
        <w:ind w:left="439"/>
      </w:pPr>
      <w:r>
        <w:rPr>
          <w:u w:val="single"/>
        </w:rPr>
        <w:t>前期調査と比べると、「悪くなっている」、「やや悪くなっている」が減少した</w:t>
      </w:r>
      <w:r>
        <w:rPr/>
        <w:t>ことにより、</w:t>
      </w:r>
    </w:p>
    <w:p>
      <w:pPr>
        <w:pStyle w:val="BodyText"/>
        <w:tabs>
          <w:tab w:pos="2309" w:val="left" w:leader="none"/>
        </w:tabs>
        <w:spacing w:line="286" w:lineRule="exact"/>
        <w:ind w:left="216"/>
      </w:pPr>
      <w:r>
        <w:rPr>
          <w:w w:val="105"/>
        </w:rPr>
        <w:t>２.３ポイント</w:t>
      </w:r>
      <w:r>
        <w:rPr>
          <w:spacing w:val="-3"/>
          <w:w w:val="105"/>
        </w:rPr>
        <w:t>増</w:t>
      </w:r>
      <w:r>
        <w:rPr>
          <w:w w:val="105"/>
        </w:rPr>
        <w:t>の</w:t>
        <w:tab/>
      </w:r>
      <w:r>
        <w:rPr>
          <w:w w:val="110"/>
        </w:rPr>
        <w:t>３６.６となったものの</w:t>
      </w:r>
      <w:r>
        <w:rPr>
          <w:spacing w:val="-3"/>
          <w:w w:val="110"/>
        </w:rPr>
        <w:t>、</w:t>
      </w:r>
      <w:r>
        <w:rPr>
          <w:w w:val="110"/>
        </w:rPr>
        <w:t>引き続き横ばいを示す５０を下回った。</w:t>
      </w:r>
    </w:p>
    <w:p>
      <w:pPr>
        <w:pStyle w:val="BodyText"/>
        <w:spacing w:line="232" w:lineRule="auto" w:before="3"/>
        <w:ind w:left="216" w:right="150" w:firstLine="220"/>
        <w:jc w:val="both"/>
      </w:pPr>
      <w:r>
        <w:rPr/>
        <w:t>判断理由をみると、株価の持ち直しやイラク戦争の終結に伴う景気好転という声があるものの、依然として来客数・客単価とも減少傾向にあること、また、ボーナス手取額減少や低温等による消費の低迷が挙げられていた。</w:t>
      </w:r>
    </w:p>
    <w:p>
      <w:pPr>
        <w:pStyle w:val="BodyText"/>
        <w:spacing w:before="3"/>
        <w:rPr>
          <w:sz w:val="23"/>
        </w:rPr>
      </w:pPr>
    </w:p>
    <w:p>
      <w:pPr>
        <w:pStyle w:val="Heading3"/>
        <w:ind w:left="216"/>
      </w:pPr>
      <w:r>
        <w:rPr/>
        <w:t>② 分野別の動向</w:t>
      </w:r>
    </w:p>
    <w:p>
      <w:pPr>
        <w:pStyle w:val="BodyText"/>
        <w:spacing w:line="232" w:lineRule="auto" w:before="283"/>
        <w:ind w:left="216" w:right="155" w:firstLine="220"/>
        <w:jc w:val="both"/>
      </w:pPr>
      <w:r>
        <w:rPr/>
        <w:t>前期調査に比べて、家計関連の小売・サービス及び企業関連で上昇したものの、家計関連の飲食については、大きく落ち込んだ。</w:t>
      </w:r>
    </w:p>
    <w:p>
      <w:pPr>
        <w:pStyle w:val="BodyText"/>
        <w:spacing w:before="6"/>
        <w:rPr>
          <w:sz w:val="21"/>
        </w:rPr>
      </w:pPr>
    </w:p>
    <w:p>
      <w:pPr>
        <w:pStyle w:val="Heading3"/>
        <w:ind w:left="216"/>
      </w:pPr>
      <w:r>
        <w:rPr/>
        <w:t>③ 地区別の動向</w:t>
      </w:r>
    </w:p>
    <w:p>
      <w:pPr>
        <w:pStyle w:val="BodyText"/>
        <w:spacing w:line="232" w:lineRule="auto" w:before="281"/>
        <w:ind w:left="216" w:right="150" w:firstLine="220"/>
        <w:jc w:val="both"/>
      </w:pPr>
      <w:r>
        <w:rPr/>
        <w:t>前期調査に比べて、全ての地区で「悪くなっている」、「やや悪くなっている」が減少したが、東青及び津軽地区では「やや良くなっている」も減少した。</w:t>
      </w:r>
    </w:p>
    <w:p>
      <w:pPr>
        <w:pStyle w:val="BodyText"/>
        <w:rPr>
          <w:sz w:val="20"/>
        </w:rPr>
      </w:pPr>
    </w:p>
    <w:p>
      <w:pPr>
        <w:pStyle w:val="BodyText"/>
        <w:rPr>
          <w:sz w:val="20"/>
        </w:rPr>
      </w:pPr>
    </w:p>
    <w:p>
      <w:pPr>
        <w:pStyle w:val="BodyText"/>
        <w:spacing w:before="8"/>
        <w:rPr>
          <w:sz w:val="16"/>
        </w:rPr>
      </w:pPr>
    </w:p>
    <w:p>
      <w:pPr>
        <w:pStyle w:val="Heading3"/>
        <w:spacing w:before="100"/>
        <w:ind w:left="132"/>
      </w:pPr>
      <w:r>
        <w:rPr/>
        <w:t>（２）３か月後の景気の先行き判断ＤＩ</w:t>
      </w:r>
    </w:p>
    <w:p>
      <w:pPr>
        <w:spacing w:before="1"/>
        <w:ind w:left="267" w:right="0" w:firstLine="0"/>
        <w:jc w:val="left"/>
        <w:rPr>
          <w:sz w:val="24"/>
        </w:rPr>
      </w:pPr>
      <w:r>
        <w:rPr/>
        <w:pict>
          <v:group style="position:absolute;margin-left:58.200001pt;margin-top:.396171pt;width:478.8pt;height:277pt;mso-position-horizontal-relative:page;mso-position-vertical-relative:paragraph;z-index:-176224" coordorigin="1164,8" coordsize="9576,5540">
            <v:line style="position:absolute" from="1174,13" to="10730,13" stroked="true" strokeweight=".48pt" strokecolor="#000000">
              <v:stroke dashstyle="solid"/>
            </v:line>
            <v:shape style="position:absolute;left:1164;top:2326;width:9567;height:10" type="#_x0000_t75" stroked="false">
              <v:imagedata r:id="rId10" o:title=""/>
            </v:shape>
            <v:shape style="position:absolute;left:1164;top:3787;width:9567;height:10" type="#_x0000_t75" stroked="false">
              <v:imagedata r:id="rId10" o:title=""/>
            </v:shape>
            <v:shape style="position:absolute;left:1168;top:7;width:9562;height:5540" coordorigin="1169,8" coordsize="9562,5540" path="m1169,8l1169,5547m1174,5542l10730,5542e" filled="false" stroked="true" strokeweight=".48pt" strokecolor="#000000">
              <v:path arrowok="t"/>
              <v:stroke dashstyle="solid"/>
            </v:shape>
            <v:line style="position:absolute" from="10735,8" to="10735,5547" stroked="true" strokeweight=".48pt" strokecolor="#000000">
              <v:stroke dashstyle="solid"/>
            </v:line>
            <w10:wrap type="none"/>
          </v:group>
        </w:pict>
      </w:r>
      <w:r>
        <w:rPr>
          <w:sz w:val="24"/>
        </w:rPr>
        <w:t>① 県全体の動向</w:t>
      </w:r>
    </w:p>
    <w:p>
      <w:pPr>
        <w:pStyle w:val="BodyText"/>
        <w:spacing w:line="290" w:lineRule="exact" w:before="273"/>
        <w:ind w:left="487"/>
      </w:pPr>
      <w:r>
        <w:rPr>
          <w:u w:val="single"/>
        </w:rPr>
        <w:t>前期調査と比べると、「やや良くなっている」と答えた人が増加し、「悪くなっている」、</w:t>
      </w:r>
    </w:p>
    <w:p>
      <w:pPr>
        <w:pStyle w:val="BodyText"/>
        <w:spacing w:line="232" w:lineRule="auto" w:before="2"/>
        <w:ind w:left="267" w:right="201"/>
      </w:pPr>
      <w:r>
        <w:rPr>
          <w:spacing w:val="-3"/>
          <w:u w:val="single"/>
        </w:rPr>
        <w:t>「やや悪くなっている」が減少した</w:t>
      </w:r>
      <w:r>
        <w:rPr>
          <w:spacing w:val="-2"/>
        </w:rPr>
        <w:t>ことにより、６.２ポイント増の４３.８となったものの、  </w:t>
      </w:r>
      <w:r>
        <w:rPr>
          <w:w w:val="110"/>
        </w:rPr>
        <w:t>引き続き横ばいを示す５０を下回った。</w:t>
      </w:r>
    </w:p>
    <w:p>
      <w:pPr>
        <w:pStyle w:val="BodyText"/>
        <w:spacing w:line="232" w:lineRule="auto"/>
        <w:ind w:left="267" w:right="198" w:firstLine="220"/>
      </w:pPr>
      <w:r>
        <w:rPr/>
        <w:t>判断理由を見ると、夏祭り、秋の観光シーズンを迎えての観光客の増加等が見込まれるものの、不順天候等による消費減退等が不安材料として挙げられていた。</w:t>
      </w:r>
    </w:p>
    <w:p>
      <w:pPr>
        <w:pStyle w:val="BodyText"/>
        <w:spacing w:before="6"/>
        <w:rPr>
          <w:sz w:val="21"/>
        </w:rPr>
      </w:pPr>
    </w:p>
    <w:p>
      <w:pPr>
        <w:pStyle w:val="Heading3"/>
        <w:ind w:left="267"/>
      </w:pPr>
      <w:r>
        <w:rPr/>
        <w:t>② 分野別の動向</w:t>
      </w:r>
    </w:p>
    <w:p>
      <w:pPr>
        <w:pStyle w:val="BodyText"/>
        <w:spacing w:line="232" w:lineRule="auto" w:before="281"/>
        <w:ind w:left="267" w:right="198" w:firstLine="220"/>
      </w:pPr>
      <w:r>
        <w:rPr/>
        <w:t>前期調査に比べて、全般的に回復傾向にあるものの、家計関連の小売・飲食では落ち込んでいる。</w:t>
      </w:r>
    </w:p>
    <w:p>
      <w:pPr>
        <w:pStyle w:val="BodyText"/>
        <w:spacing w:before="6"/>
        <w:rPr>
          <w:sz w:val="21"/>
        </w:rPr>
      </w:pPr>
    </w:p>
    <w:p>
      <w:pPr>
        <w:pStyle w:val="Heading3"/>
        <w:ind w:left="267"/>
      </w:pPr>
      <w:r>
        <w:rPr/>
        <w:t>③ 地区別の動向</w:t>
      </w:r>
    </w:p>
    <w:p>
      <w:pPr>
        <w:pStyle w:val="BodyText"/>
        <w:spacing w:line="290" w:lineRule="exact" w:before="276"/>
        <w:ind w:left="488"/>
      </w:pPr>
      <w:r>
        <w:rPr/>
        <w:t>前期調査に比べて、東青地区で「悪くなっている」、「やや悪くなっている」が減少し</w:t>
      </w:r>
    </w:p>
    <w:p>
      <w:pPr>
        <w:pStyle w:val="BodyText"/>
        <w:spacing w:line="230" w:lineRule="auto" w:before="5"/>
        <w:ind w:left="267" w:right="203"/>
      </w:pPr>
      <w:r>
        <w:rPr/>
        <w:t>１０.３ポイント増となった外、津軽、県南及び下北地区でも「悪くなっている」が減少したことからポイントが増加している。</w:t>
      </w:r>
    </w:p>
    <w:p>
      <w:pPr>
        <w:spacing w:after="0" w:line="230" w:lineRule="auto"/>
        <w:sectPr>
          <w:footerReference w:type="default" r:id="rId8"/>
          <w:pgSz w:w="11900" w:h="16840"/>
          <w:pgMar w:footer="765" w:header="0" w:top="1320" w:bottom="960" w:left="1000" w:right="1060"/>
          <w:pgNumType w:start="2"/>
        </w:sectPr>
      </w:pPr>
    </w:p>
    <w:p>
      <w:pPr>
        <w:spacing w:before="90"/>
        <w:ind w:left="192" w:right="0" w:firstLine="0"/>
        <w:jc w:val="left"/>
        <w:rPr>
          <w:sz w:val="27"/>
        </w:rPr>
      </w:pPr>
      <w:r>
        <w:rPr>
          <w:w w:val="105"/>
          <w:sz w:val="27"/>
        </w:rPr>
        <w:t>２．県全体の動向</w:t>
      </w:r>
    </w:p>
    <w:p>
      <w:pPr>
        <w:pStyle w:val="BodyText"/>
        <w:spacing w:before="3"/>
        <w:rPr>
          <w:sz w:val="25"/>
        </w:rPr>
      </w:pPr>
    </w:p>
    <w:p>
      <w:pPr>
        <w:pStyle w:val="Heading4"/>
        <w:spacing w:line="240" w:lineRule="auto"/>
      </w:pPr>
      <w:r>
        <w:rPr>
          <w:w w:val="105"/>
        </w:rPr>
        <w:t>（１）３か月前と比べた景気の現状判断</w:t>
      </w:r>
    </w:p>
    <w:p>
      <w:pPr>
        <w:pStyle w:val="BodyText"/>
        <w:spacing w:before="12"/>
        <w:rPr>
          <w:sz w:val="24"/>
        </w:rPr>
      </w:pPr>
    </w:p>
    <w:p>
      <w:pPr>
        <w:pStyle w:val="BodyTex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50" w:lineRule="exact"/>
              <w:ind w:left="405"/>
              <w:jc w:val="left"/>
              <w:rPr>
                <w:sz w:val="22"/>
              </w:rPr>
            </w:pPr>
            <w:r>
              <w:rPr>
                <w:sz w:val="22"/>
              </w:rPr>
              <w:t>ｎ= 97</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8"/>
              <w:rPr>
                <w:rFonts w:ascii="A-OTF Futo Go B101 Pr6N"/>
                <w:b/>
                <w:sz w:val="22"/>
              </w:rPr>
            </w:pPr>
            <w:r>
              <w:rPr>
                <w:rFonts w:ascii="A-OTF Futo Go B101 Pr6N"/>
                <w:b/>
                <w:w w:val="105"/>
                <w:sz w:val="22"/>
              </w:rPr>
              <w:t>42.7</w:t>
            </w:r>
          </w:p>
        </w:tc>
        <w:tc>
          <w:tcPr>
            <w:tcW w:w="1395" w:type="dxa"/>
          </w:tcPr>
          <w:p>
            <w:pPr>
              <w:pStyle w:val="TableParagraph"/>
              <w:ind w:right="19"/>
              <w:rPr>
                <w:rFonts w:ascii="A-OTF Futo Go B101 Pr6N"/>
                <w:b/>
                <w:sz w:val="22"/>
              </w:rPr>
            </w:pPr>
            <w:r>
              <w:rPr>
                <w:rFonts w:ascii="A-OTF Futo Go B101 Pr6N"/>
                <w:b/>
                <w:w w:val="105"/>
                <w:sz w:val="22"/>
              </w:rPr>
              <w:t>35.4</w:t>
            </w:r>
          </w:p>
        </w:tc>
        <w:tc>
          <w:tcPr>
            <w:tcW w:w="1395" w:type="dxa"/>
          </w:tcPr>
          <w:p>
            <w:pPr>
              <w:pStyle w:val="TableParagraph"/>
              <w:ind w:right="132"/>
              <w:rPr>
                <w:rFonts w:ascii="A-OTF Futo Go B101 Pr6N"/>
                <w:b/>
                <w:sz w:val="22"/>
              </w:rPr>
            </w:pPr>
            <w:r>
              <w:rPr>
                <w:rFonts w:ascii="A-OTF Futo Go B101 Pr6N"/>
                <w:b/>
                <w:w w:val="105"/>
                <w:sz w:val="22"/>
              </w:rPr>
              <w:t>34.1</w:t>
            </w:r>
          </w:p>
        </w:tc>
        <w:tc>
          <w:tcPr>
            <w:tcW w:w="1395" w:type="dxa"/>
          </w:tcPr>
          <w:p>
            <w:pPr>
              <w:pStyle w:val="TableParagraph"/>
              <w:ind w:right="133"/>
              <w:rPr>
                <w:rFonts w:ascii="A-OTF Futo Go B101 Pr6N"/>
                <w:b/>
                <w:sz w:val="22"/>
              </w:rPr>
            </w:pPr>
            <w:r>
              <w:rPr>
                <w:rFonts w:ascii="A-OTF Futo Go B101 Pr6N"/>
                <w:b/>
                <w:w w:val="105"/>
                <w:sz w:val="22"/>
              </w:rPr>
              <w:t>34.3</w:t>
            </w:r>
          </w:p>
        </w:tc>
        <w:tc>
          <w:tcPr>
            <w:tcW w:w="1395" w:type="dxa"/>
          </w:tcPr>
          <w:p>
            <w:pPr>
              <w:pStyle w:val="TableParagraph"/>
              <w:ind w:right="133"/>
              <w:rPr>
                <w:rFonts w:ascii="A-OTF Futo Go B101 Pr6N"/>
                <w:b/>
                <w:sz w:val="22"/>
              </w:rPr>
            </w:pPr>
            <w:r>
              <w:rPr>
                <w:rFonts w:ascii="A-OTF Futo Go B101 Pr6N"/>
                <w:b/>
                <w:w w:val="105"/>
                <w:sz w:val="22"/>
              </w:rPr>
              <w:t>36.6</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sz w:val="22"/>
              </w:rPr>
              <w:t>41.2</w:t>
            </w:r>
          </w:p>
        </w:tc>
        <w:tc>
          <w:tcPr>
            <w:tcW w:w="1395" w:type="dxa"/>
          </w:tcPr>
          <w:p>
            <w:pPr>
              <w:pStyle w:val="TableParagraph"/>
              <w:ind w:right="18"/>
              <w:rPr>
                <w:sz w:val="22"/>
              </w:rPr>
            </w:pPr>
            <w:r>
              <w:rPr>
                <w:sz w:val="22"/>
              </w:rPr>
              <w:t>34.2</w:t>
            </w:r>
          </w:p>
        </w:tc>
        <w:tc>
          <w:tcPr>
            <w:tcW w:w="1395" w:type="dxa"/>
          </w:tcPr>
          <w:p>
            <w:pPr>
              <w:pStyle w:val="TableParagraph"/>
              <w:ind w:right="129"/>
              <w:rPr>
                <w:sz w:val="22"/>
              </w:rPr>
            </w:pPr>
            <w:r>
              <w:rPr>
                <w:sz w:val="22"/>
              </w:rPr>
              <w:t>34.8</w:t>
            </w:r>
          </w:p>
        </w:tc>
        <w:tc>
          <w:tcPr>
            <w:tcW w:w="1395" w:type="dxa"/>
          </w:tcPr>
          <w:p>
            <w:pPr>
              <w:pStyle w:val="TableParagraph"/>
              <w:ind w:right="130"/>
              <w:rPr>
                <w:sz w:val="22"/>
              </w:rPr>
            </w:pPr>
            <w:r>
              <w:rPr>
                <w:sz w:val="22"/>
              </w:rPr>
              <w:t>33.8</w:t>
            </w:r>
          </w:p>
        </w:tc>
        <w:tc>
          <w:tcPr>
            <w:tcW w:w="1395" w:type="dxa"/>
          </w:tcPr>
          <w:p>
            <w:pPr>
              <w:pStyle w:val="TableParagraph"/>
              <w:ind w:right="131"/>
              <w:rPr>
                <w:sz w:val="22"/>
              </w:rPr>
            </w:pPr>
            <w:r>
              <w:rPr>
                <w:sz w:val="22"/>
              </w:rPr>
              <w:t>33.9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8"/>
              <w:rPr>
                <w:sz w:val="22"/>
              </w:rPr>
            </w:pPr>
            <w:r>
              <w:rPr>
                <w:sz w:val="22"/>
              </w:rPr>
              <w:t>40.5</w:t>
            </w:r>
          </w:p>
        </w:tc>
        <w:tc>
          <w:tcPr>
            <w:tcW w:w="1395" w:type="dxa"/>
            <w:tcBorders>
              <w:bottom w:val="dashSmallGap" w:sz="8" w:space="0" w:color="000000"/>
            </w:tcBorders>
          </w:tcPr>
          <w:p>
            <w:pPr>
              <w:pStyle w:val="TableParagraph"/>
              <w:ind w:right="18"/>
              <w:rPr>
                <w:sz w:val="22"/>
              </w:rPr>
            </w:pPr>
            <w:r>
              <w:rPr>
                <w:sz w:val="22"/>
              </w:rPr>
              <w:t>34.8</w:t>
            </w:r>
          </w:p>
        </w:tc>
        <w:tc>
          <w:tcPr>
            <w:tcW w:w="1395" w:type="dxa"/>
            <w:tcBorders>
              <w:bottom w:val="dashSmallGap" w:sz="8" w:space="0" w:color="000000"/>
            </w:tcBorders>
          </w:tcPr>
          <w:p>
            <w:pPr>
              <w:pStyle w:val="TableParagraph"/>
              <w:ind w:right="129"/>
              <w:rPr>
                <w:sz w:val="22"/>
              </w:rPr>
            </w:pPr>
            <w:r>
              <w:rPr>
                <w:sz w:val="22"/>
              </w:rPr>
              <w:t>29.8</w:t>
            </w:r>
          </w:p>
        </w:tc>
        <w:tc>
          <w:tcPr>
            <w:tcW w:w="1395" w:type="dxa"/>
            <w:tcBorders>
              <w:bottom w:val="dashSmallGap" w:sz="8" w:space="0" w:color="000000"/>
            </w:tcBorders>
          </w:tcPr>
          <w:p>
            <w:pPr>
              <w:pStyle w:val="TableParagraph"/>
              <w:ind w:right="130"/>
              <w:rPr>
                <w:sz w:val="22"/>
              </w:rPr>
            </w:pPr>
            <w:r>
              <w:rPr>
                <w:sz w:val="22"/>
              </w:rPr>
              <w:t>29.2</w:t>
            </w:r>
          </w:p>
        </w:tc>
        <w:tc>
          <w:tcPr>
            <w:tcW w:w="1395" w:type="dxa"/>
          </w:tcPr>
          <w:p>
            <w:pPr>
              <w:pStyle w:val="TableParagraph"/>
              <w:ind w:right="131"/>
              <w:rPr>
                <w:sz w:val="22"/>
              </w:rPr>
            </w:pPr>
            <w:r>
              <w:rPr>
                <w:sz w:val="22"/>
              </w:rPr>
              <w:t>30.8</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8"/>
              <w:rPr>
                <w:sz w:val="22"/>
              </w:rPr>
            </w:pPr>
            <w:r>
              <w:rPr>
                <w:sz w:val="22"/>
              </w:rPr>
              <w:t>35.0</w:t>
            </w:r>
          </w:p>
        </w:tc>
        <w:tc>
          <w:tcPr>
            <w:tcW w:w="1395" w:type="dxa"/>
            <w:tcBorders>
              <w:top w:val="dashSmallGap" w:sz="8" w:space="0" w:color="000000"/>
              <w:bottom w:val="dashSmallGap" w:sz="8" w:space="0" w:color="000000"/>
            </w:tcBorders>
          </w:tcPr>
          <w:p>
            <w:pPr>
              <w:pStyle w:val="TableParagraph"/>
              <w:ind w:right="18"/>
              <w:rPr>
                <w:sz w:val="22"/>
              </w:rPr>
            </w:pPr>
            <w:r>
              <w:rPr>
                <w:sz w:val="22"/>
              </w:rPr>
              <w:t>27.3</w:t>
            </w:r>
          </w:p>
        </w:tc>
        <w:tc>
          <w:tcPr>
            <w:tcW w:w="1395" w:type="dxa"/>
            <w:tcBorders>
              <w:top w:val="dashSmallGap" w:sz="8" w:space="0" w:color="000000"/>
              <w:bottom w:val="dashSmallGap" w:sz="8" w:space="0" w:color="000000"/>
            </w:tcBorders>
          </w:tcPr>
          <w:p>
            <w:pPr>
              <w:pStyle w:val="TableParagraph"/>
              <w:ind w:right="129"/>
              <w:rPr>
                <w:sz w:val="22"/>
              </w:rPr>
            </w:pPr>
            <w:r>
              <w:rPr>
                <w:sz w:val="22"/>
              </w:rPr>
              <w:t>37.5</w:t>
            </w:r>
          </w:p>
        </w:tc>
        <w:tc>
          <w:tcPr>
            <w:tcW w:w="1395" w:type="dxa"/>
            <w:tcBorders>
              <w:top w:val="dashSmallGap" w:sz="8" w:space="0" w:color="000000"/>
              <w:bottom w:val="dashSmallGap" w:sz="8" w:space="0" w:color="000000"/>
            </w:tcBorders>
          </w:tcPr>
          <w:p>
            <w:pPr>
              <w:pStyle w:val="TableParagraph"/>
              <w:ind w:right="130"/>
              <w:rPr>
                <w:sz w:val="22"/>
              </w:rPr>
            </w:pPr>
            <w:r>
              <w:rPr>
                <w:sz w:val="22"/>
              </w:rPr>
              <w:t>45.0</w:t>
            </w:r>
          </w:p>
        </w:tc>
        <w:tc>
          <w:tcPr>
            <w:tcW w:w="1395" w:type="dxa"/>
          </w:tcPr>
          <w:p>
            <w:pPr>
              <w:pStyle w:val="TableParagraph"/>
              <w:ind w:right="131"/>
              <w:rPr>
                <w:sz w:val="22"/>
              </w:rPr>
            </w:pPr>
            <w:r>
              <w:rPr>
                <w:sz w:val="22"/>
              </w:rPr>
              <w:t>22.7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8"/>
              <w:rPr>
                <w:sz w:val="22"/>
              </w:rPr>
            </w:pPr>
            <w:r>
              <w:rPr>
                <w:sz w:val="22"/>
              </w:rPr>
              <w:t>43.3</w:t>
            </w:r>
          </w:p>
        </w:tc>
        <w:tc>
          <w:tcPr>
            <w:tcW w:w="1395" w:type="dxa"/>
            <w:tcBorders>
              <w:top w:val="dashSmallGap" w:sz="8" w:space="0" w:color="000000"/>
              <w:bottom w:val="dashSmallGap" w:sz="8" w:space="0" w:color="000000"/>
            </w:tcBorders>
          </w:tcPr>
          <w:p>
            <w:pPr>
              <w:pStyle w:val="TableParagraph"/>
              <w:ind w:right="18"/>
              <w:rPr>
                <w:sz w:val="22"/>
              </w:rPr>
            </w:pPr>
            <w:r>
              <w:rPr>
                <w:sz w:val="22"/>
              </w:rPr>
              <w:t>33.7</w:t>
            </w:r>
          </w:p>
        </w:tc>
        <w:tc>
          <w:tcPr>
            <w:tcW w:w="1395" w:type="dxa"/>
            <w:tcBorders>
              <w:top w:val="dashSmallGap" w:sz="8" w:space="0" w:color="000000"/>
              <w:bottom w:val="dashSmallGap" w:sz="8" w:space="0" w:color="000000"/>
            </w:tcBorders>
          </w:tcPr>
          <w:p>
            <w:pPr>
              <w:pStyle w:val="TableParagraph"/>
              <w:ind w:right="129"/>
              <w:rPr>
                <w:sz w:val="22"/>
              </w:rPr>
            </w:pPr>
            <w:r>
              <w:rPr>
                <w:sz w:val="22"/>
              </w:rPr>
              <w:t>39.0</w:t>
            </w:r>
          </w:p>
        </w:tc>
        <w:tc>
          <w:tcPr>
            <w:tcW w:w="1395" w:type="dxa"/>
            <w:tcBorders>
              <w:top w:val="dashSmallGap" w:sz="8" w:space="0" w:color="000000"/>
              <w:bottom w:val="dashSmallGap" w:sz="8" w:space="0" w:color="000000"/>
            </w:tcBorders>
          </w:tcPr>
          <w:p>
            <w:pPr>
              <w:pStyle w:val="TableParagraph"/>
              <w:ind w:right="130"/>
              <w:rPr>
                <w:sz w:val="22"/>
              </w:rPr>
            </w:pPr>
            <w:r>
              <w:rPr>
                <w:sz w:val="22"/>
              </w:rPr>
              <w:t>32.6</w:t>
            </w:r>
          </w:p>
        </w:tc>
        <w:tc>
          <w:tcPr>
            <w:tcW w:w="1395" w:type="dxa"/>
          </w:tcPr>
          <w:p>
            <w:pPr>
              <w:pStyle w:val="TableParagraph"/>
              <w:ind w:right="131"/>
              <w:rPr>
                <w:sz w:val="22"/>
              </w:rPr>
            </w:pPr>
            <w:r>
              <w:rPr>
                <w:sz w:val="22"/>
              </w:rPr>
              <w:t>39.4</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sz w:val="22"/>
              </w:rPr>
              <w:t>45.8</w:t>
            </w:r>
          </w:p>
        </w:tc>
        <w:tc>
          <w:tcPr>
            <w:tcW w:w="1395" w:type="dxa"/>
            <w:tcBorders>
              <w:top w:val="dashSmallGap" w:sz="8" w:space="0" w:color="000000"/>
            </w:tcBorders>
          </w:tcPr>
          <w:p>
            <w:pPr>
              <w:pStyle w:val="TableParagraph"/>
              <w:ind w:right="18"/>
              <w:rPr>
                <w:sz w:val="22"/>
              </w:rPr>
            </w:pPr>
            <w:r>
              <w:rPr>
                <w:sz w:val="22"/>
              </w:rPr>
              <w:t>45.8</w:t>
            </w:r>
          </w:p>
        </w:tc>
        <w:tc>
          <w:tcPr>
            <w:tcW w:w="1395" w:type="dxa"/>
            <w:tcBorders>
              <w:top w:val="dashSmallGap" w:sz="8" w:space="0" w:color="000000"/>
            </w:tcBorders>
          </w:tcPr>
          <w:p>
            <w:pPr>
              <w:pStyle w:val="TableParagraph"/>
              <w:ind w:right="129"/>
              <w:rPr>
                <w:sz w:val="22"/>
              </w:rPr>
            </w:pPr>
            <w:r>
              <w:rPr>
                <w:sz w:val="22"/>
              </w:rPr>
              <w:t>35.0</w:t>
            </w:r>
          </w:p>
        </w:tc>
        <w:tc>
          <w:tcPr>
            <w:tcW w:w="1395" w:type="dxa"/>
            <w:tcBorders>
              <w:top w:val="dashSmallGap" w:sz="8" w:space="0" w:color="000000"/>
            </w:tcBorders>
          </w:tcPr>
          <w:p>
            <w:pPr>
              <w:pStyle w:val="TableParagraph"/>
              <w:ind w:right="130"/>
              <w:rPr>
                <w:sz w:val="22"/>
              </w:rPr>
            </w:pPr>
            <w:r>
              <w:rPr>
                <w:sz w:val="22"/>
              </w:rPr>
              <w:t>45.0</w:t>
            </w:r>
          </w:p>
        </w:tc>
        <w:tc>
          <w:tcPr>
            <w:tcW w:w="1395" w:type="dxa"/>
          </w:tcPr>
          <w:p>
            <w:pPr>
              <w:pStyle w:val="TableParagraph"/>
              <w:ind w:right="131"/>
              <w:rPr>
                <w:sz w:val="22"/>
              </w:rPr>
            </w:pPr>
            <w:r>
              <w:rPr>
                <w:sz w:val="22"/>
              </w:rPr>
              <w:t>45.8</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sz w:val="22"/>
              </w:rPr>
              <w:t>45.8</w:t>
            </w:r>
          </w:p>
        </w:tc>
        <w:tc>
          <w:tcPr>
            <w:tcW w:w="1395" w:type="dxa"/>
          </w:tcPr>
          <w:p>
            <w:pPr>
              <w:pStyle w:val="TableParagraph"/>
              <w:ind w:right="18"/>
              <w:rPr>
                <w:sz w:val="22"/>
              </w:rPr>
            </w:pPr>
            <w:r>
              <w:rPr>
                <w:sz w:val="22"/>
              </w:rPr>
              <w:t>36.1</w:t>
            </w:r>
          </w:p>
        </w:tc>
        <w:tc>
          <w:tcPr>
            <w:tcW w:w="1395" w:type="dxa"/>
          </w:tcPr>
          <w:p>
            <w:pPr>
              <w:pStyle w:val="TableParagraph"/>
              <w:ind w:right="129"/>
              <w:rPr>
                <w:sz w:val="22"/>
              </w:rPr>
            </w:pPr>
            <w:r>
              <w:rPr>
                <w:sz w:val="22"/>
              </w:rPr>
              <w:t>29.2</w:t>
            </w:r>
          </w:p>
        </w:tc>
        <w:tc>
          <w:tcPr>
            <w:tcW w:w="1395" w:type="dxa"/>
          </w:tcPr>
          <w:p>
            <w:pPr>
              <w:pStyle w:val="TableParagraph"/>
              <w:ind w:right="130"/>
              <w:rPr>
                <w:sz w:val="22"/>
              </w:rPr>
            </w:pPr>
            <w:r>
              <w:rPr>
                <w:sz w:val="22"/>
              </w:rPr>
              <w:t>32.8</w:t>
            </w:r>
          </w:p>
        </w:tc>
        <w:tc>
          <w:tcPr>
            <w:tcW w:w="1395" w:type="dxa"/>
          </w:tcPr>
          <w:p>
            <w:pPr>
              <w:pStyle w:val="TableParagraph"/>
              <w:ind w:right="131"/>
              <w:rPr>
                <w:sz w:val="22"/>
              </w:rPr>
            </w:pPr>
            <w:r>
              <w:rPr>
                <w:sz w:val="22"/>
              </w:rPr>
              <w:t>45.6</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sz w:val="22"/>
              </w:rPr>
              <w:t>50.0</w:t>
            </w:r>
          </w:p>
        </w:tc>
        <w:tc>
          <w:tcPr>
            <w:tcW w:w="1395" w:type="dxa"/>
          </w:tcPr>
          <w:p>
            <w:pPr>
              <w:pStyle w:val="TableParagraph"/>
              <w:ind w:right="18"/>
              <w:rPr>
                <w:sz w:val="22"/>
              </w:rPr>
            </w:pPr>
            <w:r>
              <w:rPr>
                <w:sz w:val="22"/>
              </w:rPr>
              <w:t>46.4</w:t>
            </w:r>
          </w:p>
        </w:tc>
        <w:tc>
          <w:tcPr>
            <w:tcW w:w="1395" w:type="dxa"/>
          </w:tcPr>
          <w:p>
            <w:pPr>
              <w:pStyle w:val="TableParagraph"/>
              <w:ind w:right="129"/>
              <w:rPr>
                <w:sz w:val="22"/>
              </w:rPr>
            </w:pPr>
            <w:r>
              <w:rPr>
                <w:sz w:val="22"/>
              </w:rPr>
              <w:t>39.3</w:t>
            </w:r>
          </w:p>
        </w:tc>
        <w:tc>
          <w:tcPr>
            <w:tcW w:w="1395" w:type="dxa"/>
          </w:tcPr>
          <w:p>
            <w:pPr>
              <w:pStyle w:val="TableParagraph"/>
              <w:ind w:right="130"/>
              <w:rPr>
                <w:sz w:val="22"/>
              </w:rPr>
            </w:pPr>
            <w:r>
              <w:rPr>
                <w:sz w:val="22"/>
              </w:rPr>
              <w:t>42.9</w:t>
            </w:r>
          </w:p>
        </w:tc>
        <w:tc>
          <w:tcPr>
            <w:tcW w:w="1395" w:type="dxa"/>
          </w:tcPr>
          <w:p>
            <w:pPr>
              <w:pStyle w:val="TableParagraph"/>
              <w:ind w:right="131"/>
              <w:rPr>
                <w:sz w:val="22"/>
              </w:rPr>
            </w:pPr>
            <w:r>
              <w:rPr>
                <w:sz w:val="22"/>
              </w:rPr>
              <w:t>42.9</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left="154"/>
              <w:jc w:val="left"/>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6"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6"/>
              <w:rPr>
                <w:sz w:val="22"/>
              </w:rPr>
            </w:pPr>
            <w:r>
              <w:rPr>
                <w:w w:val="105"/>
                <w:sz w:val="22"/>
              </w:rPr>
              <w:t>1.0</w:t>
            </w:r>
          </w:p>
        </w:tc>
        <w:tc>
          <w:tcPr>
            <w:tcW w:w="1394" w:type="dxa"/>
          </w:tcPr>
          <w:p>
            <w:pPr>
              <w:pStyle w:val="TableParagraph"/>
              <w:ind w:right="15"/>
              <w:rPr>
                <w:sz w:val="22"/>
              </w:rPr>
            </w:pPr>
            <w:r>
              <w:rPr>
                <w:w w:val="105"/>
                <w:sz w:val="22"/>
              </w:rPr>
              <w:t>9.4</w:t>
            </w:r>
          </w:p>
        </w:tc>
        <w:tc>
          <w:tcPr>
            <w:tcW w:w="1394" w:type="dxa"/>
          </w:tcPr>
          <w:p>
            <w:pPr>
              <w:pStyle w:val="TableParagraph"/>
              <w:ind w:right="15"/>
              <w:rPr>
                <w:sz w:val="22"/>
              </w:rPr>
            </w:pPr>
            <w:r>
              <w:rPr>
                <w:sz w:val="22"/>
              </w:rPr>
              <w:t>55.2</w:t>
            </w:r>
          </w:p>
        </w:tc>
        <w:tc>
          <w:tcPr>
            <w:tcW w:w="1394" w:type="dxa"/>
          </w:tcPr>
          <w:p>
            <w:pPr>
              <w:pStyle w:val="TableParagraph"/>
              <w:ind w:right="15"/>
              <w:rPr>
                <w:sz w:val="22"/>
              </w:rPr>
            </w:pPr>
            <w:r>
              <w:rPr>
                <w:sz w:val="22"/>
              </w:rPr>
              <w:t>28.1</w:t>
            </w:r>
          </w:p>
        </w:tc>
        <w:tc>
          <w:tcPr>
            <w:tcW w:w="1394" w:type="dxa"/>
          </w:tcPr>
          <w:p>
            <w:pPr>
              <w:pStyle w:val="TableParagraph"/>
              <w:ind w:right="14"/>
              <w:rPr>
                <w:sz w:val="22"/>
              </w:rPr>
            </w:pPr>
            <w:r>
              <w:rPr>
                <w:w w:val="105"/>
                <w:sz w:val="22"/>
              </w:rPr>
              <w:t>6.3</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6"/>
              <w:rPr>
                <w:sz w:val="22"/>
              </w:rPr>
            </w:pPr>
            <w:r>
              <w:rPr>
                <w:w w:val="105"/>
                <w:sz w:val="22"/>
              </w:rPr>
              <w:t>0.0</w:t>
            </w:r>
          </w:p>
        </w:tc>
        <w:tc>
          <w:tcPr>
            <w:tcW w:w="1394" w:type="dxa"/>
          </w:tcPr>
          <w:p>
            <w:pPr>
              <w:pStyle w:val="TableParagraph"/>
              <w:ind w:right="15"/>
              <w:rPr>
                <w:sz w:val="22"/>
              </w:rPr>
            </w:pPr>
            <w:r>
              <w:rPr>
                <w:w w:val="105"/>
                <w:sz w:val="22"/>
              </w:rPr>
              <w:t>5.2</w:t>
            </w:r>
          </w:p>
        </w:tc>
        <w:tc>
          <w:tcPr>
            <w:tcW w:w="1394" w:type="dxa"/>
          </w:tcPr>
          <w:p>
            <w:pPr>
              <w:pStyle w:val="TableParagraph"/>
              <w:ind w:right="15"/>
              <w:rPr>
                <w:sz w:val="22"/>
              </w:rPr>
            </w:pPr>
            <w:r>
              <w:rPr>
                <w:sz w:val="22"/>
              </w:rPr>
              <w:t>41.7</w:t>
            </w:r>
          </w:p>
        </w:tc>
        <w:tc>
          <w:tcPr>
            <w:tcW w:w="1394" w:type="dxa"/>
          </w:tcPr>
          <w:p>
            <w:pPr>
              <w:pStyle w:val="TableParagraph"/>
              <w:ind w:right="15"/>
              <w:rPr>
                <w:sz w:val="22"/>
              </w:rPr>
            </w:pPr>
            <w:r>
              <w:rPr>
                <w:sz w:val="22"/>
              </w:rPr>
              <w:t>42.7</w:t>
            </w:r>
          </w:p>
        </w:tc>
        <w:tc>
          <w:tcPr>
            <w:tcW w:w="1394" w:type="dxa"/>
          </w:tcPr>
          <w:p>
            <w:pPr>
              <w:pStyle w:val="TableParagraph"/>
              <w:ind w:right="14"/>
              <w:rPr>
                <w:sz w:val="22"/>
              </w:rPr>
            </w:pPr>
            <w:r>
              <w:rPr>
                <w:sz w:val="22"/>
              </w:rPr>
              <w:t>10.4</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6"/>
              <w:rPr>
                <w:sz w:val="22"/>
              </w:rPr>
            </w:pPr>
            <w:r>
              <w:rPr>
                <w:w w:val="105"/>
                <w:sz w:val="22"/>
              </w:rPr>
              <w:t>1.1</w:t>
            </w:r>
          </w:p>
        </w:tc>
        <w:tc>
          <w:tcPr>
            <w:tcW w:w="1394" w:type="dxa"/>
          </w:tcPr>
          <w:p>
            <w:pPr>
              <w:pStyle w:val="TableParagraph"/>
              <w:ind w:right="15"/>
              <w:rPr>
                <w:sz w:val="22"/>
              </w:rPr>
            </w:pPr>
            <w:r>
              <w:rPr>
                <w:w w:val="105"/>
                <w:sz w:val="22"/>
              </w:rPr>
              <w:t>4.4</w:t>
            </w:r>
          </w:p>
        </w:tc>
        <w:tc>
          <w:tcPr>
            <w:tcW w:w="1394" w:type="dxa"/>
          </w:tcPr>
          <w:p>
            <w:pPr>
              <w:pStyle w:val="TableParagraph"/>
              <w:ind w:right="15"/>
              <w:rPr>
                <w:sz w:val="22"/>
              </w:rPr>
            </w:pPr>
            <w:r>
              <w:rPr>
                <w:sz w:val="22"/>
              </w:rPr>
              <w:t>39.6</w:t>
            </w:r>
          </w:p>
        </w:tc>
        <w:tc>
          <w:tcPr>
            <w:tcW w:w="1394" w:type="dxa"/>
          </w:tcPr>
          <w:p>
            <w:pPr>
              <w:pStyle w:val="TableParagraph"/>
              <w:ind w:right="15"/>
              <w:rPr>
                <w:sz w:val="22"/>
              </w:rPr>
            </w:pPr>
            <w:r>
              <w:rPr>
                <w:sz w:val="22"/>
              </w:rPr>
              <w:t>39.6</w:t>
            </w:r>
          </w:p>
        </w:tc>
        <w:tc>
          <w:tcPr>
            <w:tcW w:w="1394" w:type="dxa"/>
          </w:tcPr>
          <w:p>
            <w:pPr>
              <w:pStyle w:val="TableParagraph"/>
              <w:ind w:right="14"/>
              <w:rPr>
                <w:sz w:val="22"/>
              </w:rPr>
            </w:pPr>
            <w:r>
              <w:rPr>
                <w:sz w:val="22"/>
              </w:rPr>
              <w:t>15.4</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6"/>
              <w:rPr>
                <w:sz w:val="22"/>
              </w:rPr>
            </w:pPr>
            <w:r>
              <w:rPr>
                <w:w w:val="105"/>
                <w:sz w:val="22"/>
              </w:rPr>
              <w:t>0.0</w:t>
            </w:r>
          </w:p>
        </w:tc>
        <w:tc>
          <w:tcPr>
            <w:tcW w:w="1394" w:type="dxa"/>
          </w:tcPr>
          <w:p>
            <w:pPr>
              <w:pStyle w:val="TableParagraph"/>
              <w:ind w:right="15"/>
              <w:rPr>
                <w:sz w:val="22"/>
              </w:rPr>
            </w:pPr>
            <w:r>
              <w:rPr>
                <w:w w:val="105"/>
                <w:sz w:val="22"/>
              </w:rPr>
              <w:t>7.7</w:t>
            </w:r>
          </w:p>
        </w:tc>
        <w:tc>
          <w:tcPr>
            <w:tcW w:w="1394" w:type="dxa"/>
          </w:tcPr>
          <w:p>
            <w:pPr>
              <w:pStyle w:val="TableParagraph"/>
              <w:ind w:right="15"/>
              <w:rPr>
                <w:sz w:val="22"/>
              </w:rPr>
            </w:pPr>
            <w:r>
              <w:rPr>
                <w:sz w:val="22"/>
              </w:rPr>
              <w:t>42.9</w:t>
            </w:r>
          </w:p>
        </w:tc>
        <w:tc>
          <w:tcPr>
            <w:tcW w:w="1394" w:type="dxa"/>
          </w:tcPr>
          <w:p>
            <w:pPr>
              <w:pStyle w:val="TableParagraph"/>
              <w:ind w:right="15"/>
              <w:rPr>
                <w:sz w:val="22"/>
              </w:rPr>
            </w:pPr>
            <w:r>
              <w:rPr>
                <w:sz w:val="22"/>
              </w:rPr>
              <w:t>28.6</w:t>
            </w:r>
          </w:p>
        </w:tc>
        <w:tc>
          <w:tcPr>
            <w:tcW w:w="1394" w:type="dxa"/>
          </w:tcPr>
          <w:p>
            <w:pPr>
              <w:pStyle w:val="TableParagraph"/>
              <w:ind w:right="14"/>
              <w:rPr>
                <w:sz w:val="22"/>
              </w:rPr>
            </w:pPr>
            <w:r>
              <w:rPr>
                <w:sz w:val="22"/>
              </w:rPr>
              <w:t>20.9</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6"/>
              <w:rPr>
                <w:sz w:val="22"/>
              </w:rPr>
            </w:pPr>
            <w:r>
              <w:rPr>
                <w:w w:val="105"/>
                <w:sz w:val="22"/>
              </w:rPr>
              <w:t>0.0</w:t>
            </w:r>
          </w:p>
        </w:tc>
        <w:tc>
          <w:tcPr>
            <w:tcW w:w="1394" w:type="dxa"/>
          </w:tcPr>
          <w:p>
            <w:pPr>
              <w:pStyle w:val="TableParagraph"/>
              <w:ind w:right="15"/>
              <w:rPr>
                <w:sz w:val="22"/>
              </w:rPr>
            </w:pPr>
            <w:r>
              <w:rPr>
                <w:w w:val="105"/>
                <w:sz w:val="22"/>
              </w:rPr>
              <w:t>4.1</w:t>
            </w:r>
          </w:p>
        </w:tc>
        <w:tc>
          <w:tcPr>
            <w:tcW w:w="1394" w:type="dxa"/>
          </w:tcPr>
          <w:p>
            <w:pPr>
              <w:pStyle w:val="TableParagraph"/>
              <w:ind w:right="15"/>
              <w:rPr>
                <w:sz w:val="22"/>
              </w:rPr>
            </w:pPr>
            <w:r>
              <w:rPr>
                <w:sz w:val="22"/>
              </w:rPr>
              <w:t>53.6</w:t>
            </w:r>
          </w:p>
        </w:tc>
        <w:tc>
          <w:tcPr>
            <w:tcW w:w="1394" w:type="dxa"/>
          </w:tcPr>
          <w:p>
            <w:pPr>
              <w:pStyle w:val="TableParagraph"/>
              <w:ind w:right="15"/>
              <w:rPr>
                <w:sz w:val="22"/>
              </w:rPr>
            </w:pPr>
            <w:r>
              <w:rPr>
                <w:sz w:val="22"/>
              </w:rPr>
              <w:t>26.8</w:t>
            </w:r>
          </w:p>
        </w:tc>
        <w:tc>
          <w:tcPr>
            <w:tcW w:w="1394" w:type="dxa"/>
          </w:tcPr>
          <w:p>
            <w:pPr>
              <w:pStyle w:val="TableParagraph"/>
              <w:ind w:right="14"/>
              <w:rPr>
                <w:sz w:val="22"/>
              </w:rPr>
            </w:pPr>
            <w:r>
              <w:rPr>
                <w:sz w:val="22"/>
              </w:rPr>
              <w:t>15.5</w:t>
            </w:r>
          </w:p>
        </w:tc>
      </w:tr>
    </w:tbl>
    <w:p>
      <w:pPr>
        <w:pStyle w:val="BodyText"/>
        <w:spacing w:before="6"/>
        <w:rPr>
          <w:sz w:val="36"/>
        </w:rPr>
      </w:pPr>
    </w:p>
    <w:p>
      <w:pPr>
        <w:pStyle w:val="Heading4"/>
        <w:spacing w:line="240" w:lineRule="auto" w:before="1"/>
      </w:pPr>
      <w:r>
        <w:rPr>
          <w:w w:val="105"/>
        </w:rPr>
        <w:t>（２）３か月後の景気の先行き判断</w:t>
      </w:r>
    </w:p>
    <w:p>
      <w:pPr>
        <w:pStyle w:val="BodyText"/>
        <w:spacing w:before="232"/>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50" w:lineRule="exact"/>
              <w:ind w:left="405"/>
              <w:jc w:val="left"/>
              <w:rPr>
                <w:sz w:val="22"/>
              </w:rPr>
            </w:pPr>
            <w:r>
              <w:rPr>
                <w:sz w:val="22"/>
              </w:rPr>
              <w:t>ｎ 97</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8"/>
              <w:rPr>
                <w:rFonts w:ascii="A-OTF Futo Go B101 Pr6N"/>
                <w:b/>
                <w:sz w:val="22"/>
              </w:rPr>
            </w:pPr>
            <w:r>
              <w:rPr>
                <w:rFonts w:ascii="A-OTF Futo Go B101 Pr6N"/>
                <w:b/>
                <w:w w:val="105"/>
                <w:sz w:val="22"/>
              </w:rPr>
              <w:t>46.4</w:t>
            </w:r>
          </w:p>
        </w:tc>
        <w:tc>
          <w:tcPr>
            <w:tcW w:w="1395" w:type="dxa"/>
          </w:tcPr>
          <w:p>
            <w:pPr>
              <w:pStyle w:val="TableParagraph"/>
              <w:ind w:right="19"/>
              <w:rPr>
                <w:rFonts w:ascii="A-OTF Futo Go B101 Pr6N"/>
                <w:b/>
                <w:sz w:val="22"/>
              </w:rPr>
            </w:pPr>
            <w:r>
              <w:rPr>
                <w:rFonts w:ascii="A-OTF Futo Go B101 Pr6N"/>
                <w:b/>
                <w:w w:val="105"/>
                <w:sz w:val="22"/>
              </w:rPr>
              <w:t>36.7</w:t>
            </w:r>
          </w:p>
        </w:tc>
        <w:tc>
          <w:tcPr>
            <w:tcW w:w="1395" w:type="dxa"/>
          </w:tcPr>
          <w:p>
            <w:pPr>
              <w:pStyle w:val="TableParagraph"/>
              <w:ind w:right="132"/>
              <w:rPr>
                <w:rFonts w:ascii="A-OTF Futo Go B101 Pr6N"/>
                <w:b/>
                <w:sz w:val="22"/>
              </w:rPr>
            </w:pPr>
            <w:r>
              <w:rPr>
                <w:rFonts w:ascii="A-OTF Futo Go B101 Pr6N"/>
                <w:b/>
                <w:w w:val="105"/>
                <w:sz w:val="22"/>
              </w:rPr>
              <w:t>33.8</w:t>
            </w:r>
          </w:p>
        </w:tc>
        <w:tc>
          <w:tcPr>
            <w:tcW w:w="1395" w:type="dxa"/>
          </w:tcPr>
          <w:p>
            <w:pPr>
              <w:pStyle w:val="TableParagraph"/>
              <w:ind w:right="133"/>
              <w:rPr>
                <w:rFonts w:ascii="A-OTF Futo Go B101 Pr6N"/>
                <w:b/>
                <w:sz w:val="22"/>
              </w:rPr>
            </w:pPr>
            <w:r>
              <w:rPr>
                <w:rFonts w:ascii="A-OTF Futo Go B101 Pr6N"/>
                <w:b/>
                <w:w w:val="105"/>
                <w:sz w:val="22"/>
              </w:rPr>
              <w:t>37.6</w:t>
            </w:r>
          </w:p>
        </w:tc>
        <w:tc>
          <w:tcPr>
            <w:tcW w:w="1395" w:type="dxa"/>
          </w:tcPr>
          <w:p>
            <w:pPr>
              <w:pStyle w:val="TableParagraph"/>
              <w:ind w:right="133"/>
              <w:rPr>
                <w:rFonts w:ascii="A-OTF Futo Go B101 Pr6N"/>
                <w:b/>
                <w:sz w:val="22"/>
              </w:rPr>
            </w:pPr>
            <w:r>
              <w:rPr>
                <w:rFonts w:ascii="A-OTF Futo Go B101 Pr6N"/>
                <w:b/>
                <w:w w:val="105"/>
                <w:sz w:val="22"/>
              </w:rPr>
              <w:t>43.8</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sz w:val="22"/>
              </w:rPr>
              <w:t>46.2</w:t>
            </w:r>
          </w:p>
        </w:tc>
        <w:tc>
          <w:tcPr>
            <w:tcW w:w="1395" w:type="dxa"/>
          </w:tcPr>
          <w:p>
            <w:pPr>
              <w:pStyle w:val="TableParagraph"/>
              <w:ind w:right="18"/>
              <w:rPr>
                <w:sz w:val="22"/>
              </w:rPr>
            </w:pPr>
            <w:r>
              <w:rPr>
                <w:sz w:val="22"/>
              </w:rPr>
              <w:t>36.3</w:t>
            </w:r>
          </w:p>
        </w:tc>
        <w:tc>
          <w:tcPr>
            <w:tcW w:w="1395" w:type="dxa"/>
          </w:tcPr>
          <w:p>
            <w:pPr>
              <w:pStyle w:val="TableParagraph"/>
              <w:ind w:right="129"/>
              <w:rPr>
                <w:sz w:val="22"/>
              </w:rPr>
            </w:pPr>
            <w:r>
              <w:rPr>
                <w:sz w:val="22"/>
              </w:rPr>
              <w:t>34.8</w:t>
            </w:r>
          </w:p>
        </w:tc>
        <w:tc>
          <w:tcPr>
            <w:tcW w:w="1395" w:type="dxa"/>
          </w:tcPr>
          <w:p>
            <w:pPr>
              <w:pStyle w:val="TableParagraph"/>
              <w:ind w:right="130"/>
              <w:rPr>
                <w:sz w:val="22"/>
              </w:rPr>
            </w:pPr>
            <w:r>
              <w:rPr>
                <w:sz w:val="22"/>
              </w:rPr>
              <w:t>37.5</w:t>
            </w:r>
          </w:p>
        </w:tc>
        <w:tc>
          <w:tcPr>
            <w:tcW w:w="1395" w:type="dxa"/>
          </w:tcPr>
          <w:p>
            <w:pPr>
              <w:pStyle w:val="TableParagraph"/>
              <w:ind w:right="131"/>
              <w:rPr>
                <w:sz w:val="22"/>
              </w:rPr>
            </w:pPr>
            <w:r>
              <w:rPr>
                <w:sz w:val="22"/>
              </w:rPr>
              <w:t>41.0</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8"/>
              <w:rPr>
                <w:sz w:val="22"/>
              </w:rPr>
            </w:pPr>
            <w:r>
              <w:rPr>
                <w:sz w:val="22"/>
              </w:rPr>
              <w:t>44.8</w:t>
            </w:r>
          </w:p>
        </w:tc>
        <w:tc>
          <w:tcPr>
            <w:tcW w:w="1395" w:type="dxa"/>
          </w:tcPr>
          <w:p>
            <w:pPr>
              <w:pStyle w:val="TableParagraph"/>
              <w:ind w:right="18"/>
              <w:rPr>
                <w:sz w:val="22"/>
              </w:rPr>
            </w:pPr>
            <w:r>
              <w:rPr>
                <w:sz w:val="22"/>
              </w:rPr>
              <w:t>34.8</w:t>
            </w:r>
          </w:p>
        </w:tc>
        <w:tc>
          <w:tcPr>
            <w:tcW w:w="1395" w:type="dxa"/>
          </w:tcPr>
          <w:p>
            <w:pPr>
              <w:pStyle w:val="TableParagraph"/>
              <w:ind w:right="129"/>
              <w:rPr>
                <w:sz w:val="22"/>
              </w:rPr>
            </w:pPr>
            <w:r>
              <w:rPr>
                <w:sz w:val="22"/>
              </w:rPr>
              <w:t>31.7</w:t>
            </w:r>
          </w:p>
        </w:tc>
        <w:tc>
          <w:tcPr>
            <w:tcW w:w="1395" w:type="dxa"/>
          </w:tcPr>
          <w:p>
            <w:pPr>
              <w:pStyle w:val="TableParagraph"/>
              <w:ind w:right="130"/>
              <w:rPr>
                <w:sz w:val="22"/>
              </w:rPr>
            </w:pPr>
            <w:r>
              <w:rPr>
                <w:sz w:val="22"/>
              </w:rPr>
              <w:t>36.7</w:t>
            </w:r>
          </w:p>
        </w:tc>
        <w:tc>
          <w:tcPr>
            <w:tcW w:w="1395" w:type="dxa"/>
          </w:tcPr>
          <w:p>
            <w:pPr>
              <w:pStyle w:val="TableParagraph"/>
              <w:ind w:right="131"/>
              <w:rPr>
                <w:sz w:val="22"/>
              </w:rPr>
            </w:pPr>
            <w:r>
              <w:rPr>
                <w:sz w:val="22"/>
              </w:rPr>
              <w:t>35.0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8"/>
              <w:rPr>
                <w:sz w:val="22"/>
              </w:rPr>
            </w:pPr>
            <w:r>
              <w:rPr>
                <w:sz w:val="22"/>
              </w:rPr>
              <w:t>47.7</w:t>
            </w:r>
          </w:p>
        </w:tc>
        <w:tc>
          <w:tcPr>
            <w:tcW w:w="1395" w:type="dxa"/>
          </w:tcPr>
          <w:p>
            <w:pPr>
              <w:pStyle w:val="TableParagraph"/>
              <w:ind w:right="18"/>
              <w:rPr>
                <w:sz w:val="22"/>
              </w:rPr>
            </w:pPr>
            <w:r>
              <w:rPr>
                <w:sz w:val="22"/>
              </w:rPr>
              <w:t>35.4</w:t>
            </w:r>
          </w:p>
        </w:tc>
        <w:tc>
          <w:tcPr>
            <w:tcW w:w="1395" w:type="dxa"/>
          </w:tcPr>
          <w:p>
            <w:pPr>
              <w:pStyle w:val="TableParagraph"/>
              <w:ind w:right="129"/>
              <w:rPr>
                <w:sz w:val="22"/>
              </w:rPr>
            </w:pPr>
            <w:r>
              <w:rPr>
                <w:sz w:val="22"/>
              </w:rPr>
              <w:t>30.0</w:t>
            </w:r>
          </w:p>
        </w:tc>
        <w:tc>
          <w:tcPr>
            <w:tcW w:w="1395" w:type="dxa"/>
          </w:tcPr>
          <w:p>
            <w:pPr>
              <w:pStyle w:val="TableParagraph"/>
              <w:ind w:right="130"/>
              <w:rPr>
                <w:sz w:val="22"/>
              </w:rPr>
            </w:pPr>
            <w:r>
              <w:rPr>
                <w:sz w:val="22"/>
              </w:rPr>
              <w:t>45.5</w:t>
            </w:r>
          </w:p>
        </w:tc>
        <w:tc>
          <w:tcPr>
            <w:tcW w:w="1395" w:type="dxa"/>
          </w:tcPr>
          <w:p>
            <w:pPr>
              <w:pStyle w:val="TableParagraph"/>
              <w:ind w:right="131"/>
              <w:rPr>
                <w:sz w:val="22"/>
              </w:rPr>
            </w:pPr>
            <w:r>
              <w:rPr>
                <w:sz w:val="22"/>
              </w:rPr>
              <w:t>40.9</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8"/>
              <w:rPr>
                <w:sz w:val="22"/>
              </w:rPr>
            </w:pPr>
            <w:r>
              <w:rPr>
                <w:sz w:val="22"/>
              </w:rPr>
              <w:t>47.1</w:t>
            </w:r>
          </w:p>
        </w:tc>
        <w:tc>
          <w:tcPr>
            <w:tcW w:w="1395" w:type="dxa"/>
          </w:tcPr>
          <w:p>
            <w:pPr>
              <w:pStyle w:val="TableParagraph"/>
              <w:ind w:right="18"/>
              <w:rPr>
                <w:sz w:val="22"/>
              </w:rPr>
            </w:pPr>
            <w:r>
              <w:rPr>
                <w:sz w:val="22"/>
              </w:rPr>
              <w:t>35.0</w:t>
            </w:r>
          </w:p>
        </w:tc>
        <w:tc>
          <w:tcPr>
            <w:tcW w:w="1395" w:type="dxa"/>
          </w:tcPr>
          <w:p>
            <w:pPr>
              <w:pStyle w:val="TableParagraph"/>
              <w:ind w:right="129"/>
              <w:rPr>
                <w:sz w:val="22"/>
              </w:rPr>
            </w:pPr>
            <w:r>
              <w:rPr>
                <w:sz w:val="22"/>
              </w:rPr>
              <w:t>37.0</w:t>
            </w:r>
          </w:p>
        </w:tc>
        <w:tc>
          <w:tcPr>
            <w:tcW w:w="1395" w:type="dxa"/>
          </w:tcPr>
          <w:p>
            <w:pPr>
              <w:pStyle w:val="TableParagraph"/>
              <w:ind w:right="130"/>
              <w:rPr>
                <w:sz w:val="22"/>
              </w:rPr>
            </w:pPr>
            <w:r>
              <w:rPr>
                <w:sz w:val="22"/>
              </w:rPr>
              <w:t>33.3</w:t>
            </w:r>
          </w:p>
        </w:tc>
        <w:tc>
          <w:tcPr>
            <w:tcW w:w="1395" w:type="dxa"/>
          </w:tcPr>
          <w:p>
            <w:pPr>
              <w:pStyle w:val="TableParagraph"/>
              <w:ind w:right="131"/>
              <w:rPr>
                <w:sz w:val="22"/>
              </w:rPr>
            </w:pPr>
            <w:r>
              <w:rPr>
                <w:sz w:val="22"/>
              </w:rPr>
              <w:t>47.0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8"/>
              <w:rPr>
                <w:sz w:val="22"/>
              </w:rPr>
            </w:pPr>
            <w:r>
              <w:rPr>
                <w:sz w:val="22"/>
              </w:rPr>
              <w:t>45.8</w:t>
            </w:r>
          </w:p>
        </w:tc>
        <w:tc>
          <w:tcPr>
            <w:tcW w:w="1395" w:type="dxa"/>
          </w:tcPr>
          <w:p>
            <w:pPr>
              <w:pStyle w:val="TableParagraph"/>
              <w:ind w:right="1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30"/>
              <w:rPr>
                <w:sz w:val="22"/>
              </w:rPr>
            </w:pPr>
            <w:r>
              <w:rPr>
                <w:sz w:val="22"/>
              </w:rPr>
              <w:t>45.0</w:t>
            </w:r>
          </w:p>
        </w:tc>
        <w:tc>
          <w:tcPr>
            <w:tcW w:w="1395" w:type="dxa"/>
          </w:tcPr>
          <w:p>
            <w:pPr>
              <w:pStyle w:val="TableParagraph"/>
              <w:ind w:right="131"/>
              <w:rPr>
                <w:sz w:val="22"/>
              </w:rPr>
            </w:pPr>
            <w:r>
              <w:rPr>
                <w:sz w:val="22"/>
              </w:rPr>
              <w:t>45.8</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sz w:val="22"/>
              </w:rPr>
              <w:t>45.8</w:t>
            </w:r>
          </w:p>
        </w:tc>
        <w:tc>
          <w:tcPr>
            <w:tcW w:w="1395" w:type="dxa"/>
          </w:tcPr>
          <w:p>
            <w:pPr>
              <w:pStyle w:val="TableParagraph"/>
              <w:ind w:right="18"/>
              <w:rPr>
                <w:sz w:val="22"/>
              </w:rPr>
            </w:pPr>
            <w:r>
              <w:rPr>
                <w:sz w:val="22"/>
              </w:rPr>
              <w:t>33.3</w:t>
            </w:r>
          </w:p>
        </w:tc>
        <w:tc>
          <w:tcPr>
            <w:tcW w:w="1395" w:type="dxa"/>
          </w:tcPr>
          <w:p>
            <w:pPr>
              <w:pStyle w:val="TableParagraph"/>
              <w:ind w:right="129"/>
              <w:rPr>
                <w:sz w:val="22"/>
              </w:rPr>
            </w:pPr>
            <w:r>
              <w:rPr>
                <w:sz w:val="22"/>
              </w:rPr>
              <w:t>27.8</w:t>
            </w:r>
          </w:p>
        </w:tc>
        <w:tc>
          <w:tcPr>
            <w:tcW w:w="1395" w:type="dxa"/>
          </w:tcPr>
          <w:p>
            <w:pPr>
              <w:pStyle w:val="TableParagraph"/>
              <w:ind w:right="130"/>
              <w:rPr>
                <w:sz w:val="22"/>
              </w:rPr>
            </w:pPr>
            <w:r>
              <w:rPr>
                <w:sz w:val="22"/>
              </w:rPr>
              <w:t>34.4</w:t>
            </w:r>
          </w:p>
        </w:tc>
        <w:tc>
          <w:tcPr>
            <w:tcW w:w="1395" w:type="dxa"/>
          </w:tcPr>
          <w:p>
            <w:pPr>
              <w:pStyle w:val="TableParagraph"/>
              <w:ind w:right="131"/>
              <w:rPr>
                <w:sz w:val="22"/>
              </w:rPr>
            </w:pPr>
            <w:r>
              <w:rPr>
                <w:sz w:val="22"/>
              </w:rPr>
              <w:t>52.8</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sz w:val="22"/>
              </w:rPr>
              <w:t>50.0</w:t>
            </w:r>
          </w:p>
        </w:tc>
        <w:tc>
          <w:tcPr>
            <w:tcW w:w="1395" w:type="dxa"/>
          </w:tcPr>
          <w:p>
            <w:pPr>
              <w:pStyle w:val="TableParagraph"/>
              <w:ind w:right="18"/>
              <w:rPr>
                <w:sz w:val="22"/>
              </w:rPr>
            </w:pPr>
            <w:r>
              <w:rPr>
                <w:sz w:val="22"/>
              </w:rPr>
              <w:t>50.0</w:t>
            </w:r>
          </w:p>
        </w:tc>
        <w:tc>
          <w:tcPr>
            <w:tcW w:w="1395" w:type="dxa"/>
          </w:tcPr>
          <w:p>
            <w:pPr>
              <w:pStyle w:val="TableParagraph"/>
              <w:ind w:right="129"/>
              <w:rPr>
                <w:sz w:val="22"/>
              </w:rPr>
            </w:pPr>
            <w:r>
              <w:rPr>
                <w:sz w:val="22"/>
              </w:rPr>
              <w:t>39.3</w:t>
            </w:r>
          </w:p>
        </w:tc>
        <w:tc>
          <w:tcPr>
            <w:tcW w:w="1395" w:type="dxa"/>
          </w:tcPr>
          <w:p>
            <w:pPr>
              <w:pStyle w:val="TableParagraph"/>
              <w:ind w:right="130"/>
              <w:rPr>
                <w:sz w:val="22"/>
              </w:rPr>
            </w:pPr>
            <w:r>
              <w:rPr>
                <w:sz w:val="22"/>
              </w:rPr>
              <w:t>46.4</w:t>
            </w:r>
          </w:p>
        </w:tc>
        <w:tc>
          <w:tcPr>
            <w:tcW w:w="1395" w:type="dxa"/>
          </w:tcPr>
          <w:p>
            <w:pPr>
              <w:pStyle w:val="TableParagraph"/>
              <w:ind w:right="131"/>
              <w:rPr>
                <w:sz w:val="22"/>
              </w:rPr>
            </w:pPr>
            <w:r>
              <w:rPr>
                <w:sz w:val="22"/>
              </w:rPr>
              <w:t>50.0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6"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13.4</w:t>
            </w:r>
          </w:p>
        </w:tc>
        <w:tc>
          <w:tcPr>
            <w:tcW w:w="1394" w:type="dxa"/>
          </w:tcPr>
          <w:p>
            <w:pPr>
              <w:pStyle w:val="TableParagraph"/>
              <w:ind w:right="125"/>
              <w:rPr>
                <w:sz w:val="22"/>
              </w:rPr>
            </w:pPr>
            <w:r>
              <w:rPr>
                <w:sz w:val="22"/>
              </w:rPr>
              <w:t>63.9</w:t>
            </w:r>
          </w:p>
        </w:tc>
        <w:tc>
          <w:tcPr>
            <w:tcW w:w="1394" w:type="dxa"/>
          </w:tcPr>
          <w:p>
            <w:pPr>
              <w:pStyle w:val="TableParagraph"/>
              <w:ind w:right="125"/>
              <w:rPr>
                <w:sz w:val="22"/>
              </w:rPr>
            </w:pPr>
            <w:r>
              <w:rPr>
                <w:sz w:val="22"/>
              </w:rPr>
              <w:t>17.5</w:t>
            </w:r>
          </w:p>
        </w:tc>
        <w:tc>
          <w:tcPr>
            <w:tcW w:w="1394" w:type="dxa"/>
          </w:tcPr>
          <w:p>
            <w:pPr>
              <w:pStyle w:val="TableParagraph"/>
              <w:ind w:right="125"/>
              <w:rPr>
                <w:sz w:val="22"/>
              </w:rPr>
            </w:pPr>
            <w:r>
              <w:rPr>
                <w:w w:val="105"/>
                <w:sz w:val="22"/>
              </w:rPr>
              <w:t>5.2</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7.3</w:t>
            </w:r>
          </w:p>
        </w:tc>
        <w:tc>
          <w:tcPr>
            <w:tcW w:w="1394" w:type="dxa"/>
          </w:tcPr>
          <w:p>
            <w:pPr>
              <w:pStyle w:val="TableParagraph"/>
              <w:ind w:right="125"/>
              <w:rPr>
                <w:sz w:val="22"/>
              </w:rPr>
            </w:pPr>
            <w:r>
              <w:rPr>
                <w:sz w:val="22"/>
              </w:rPr>
              <w:t>45.8</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13.5</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3.3</w:t>
            </w:r>
          </w:p>
        </w:tc>
        <w:tc>
          <w:tcPr>
            <w:tcW w:w="1394" w:type="dxa"/>
          </w:tcPr>
          <w:p>
            <w:pPr>
              <w:pStyle w:val="TableParagraph"/>
              <w:ind w:right="125"/>
              <w:rPr>
                <w:sz w:val="22"/>
              </w:rPr>
            </w:pPr>
            <w:r>
              <w:rPr>
                <w:sz w:val="22"/>
              </w:rPr>
              <w:t>46.2</w:t>
            </w:r>
          </w:p>
        </w:tc>
        <w:tc>
          <w:tcPr>
            <w:tcW w:w="1394" w:type="dxa"/>
          </w:tcPr>
          <w:p>
            <w:pPr>
              <w:pStyle w:val="TableParagraph"/>
              <w:ind w:right="125"/>
              <w:rPr>
                <w:sz w:val="22"/>
              </w:rPr>
            </w:pPr>
            <w:r>
              <w:rPr>
                <w:sz w:val="22"/>
              </w:rPr>
              <w:t>33.0</w:t>
            </w:r>
          </w:p>
        </w:tc>
        <w:tc>
          <w:tcPr>
            <w:tcW w:w="1394" w:type="dxa"/>
          </w:tcPr>
          <w:p>
            <w:pPr>
              <w:pStyle w:val="TableParagraph"/>
              <w:ind w:right="125"/>
              <w:rPr>
                <w:sz w:val="22"/>
              </w:rPr>
            </w:pPr>
            <w:r>
              <w:rPr>
                <w:sz w:val="22"/>
              </w:rPr>
              <w:t>17.6</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10.8</w:t>
            </w:r>
          </w:p>
        </w:tc>
        <w:tc>
          <w:tcPr>
            <w:tcW w:w="1394" w:type="dxa"/>
          </w:tcPr>
          <w:p>
            <w:pPr>
              <w:pStyle w:val="TableParagraph"/>
              <w:ind w:right="125"/>
              <w:rPr>
                <w:sz w:val="22"/>
              </w:rPr>
            </w:pPr>
            <w:r>
              <w:rPr>
                <w:sz w:val="22"/>
              </w:rPr>
              <w:t>48.4</w:t>
            </w:r>
          </w:p>
        </w:tc>
        <w:tc>
          <w:tcPr>
            <w:tcW w:w="1394" w:type="dxa"/>
          </w:tcPr>
          <w:p>
            <w:pPr>
              <w:pStyle w:val="TableParagraph"/>
              <w:ind w:right="125"/>
              <w:rPr>
                <w:sz w:val="22"/>
              </w:rPr>
            </w:pPr>
            <w:r>
              <w:rPr>
                <w:sz w:val="22"/>
              </w:rPr>
              <w:t>21.5</w:t>
            </w:r>
          </w:p>
        </w:tc>
        <w:tc>
          <w:tcPr>
            <w:tcW w:w="1394" w:type="dxa"/>
          </w:tcPr>
          <w:p>
            <w:pPr>
              <w:pStyle w:val="TableParagraph"/>
              <w:ind w:right="125"/>
              <w:rPr>
                <w:sz w:val="22"/>
              </w:rPr>
            </w:pPr>
            <w:r>
              <w:rPr>
                <w:sz w:val="22"/>
              </w:rPr>
              <w:t>19.4</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1.0</w:t>
            </w:r>
          </w:p>
        </w:tc>
        <w:tc>
          <w:tcPr>
            <w:tcW w:w="1394" w:type="dxa"/>
          </w:tcPr>
          <w:p>
            <w:pPr>
              <w:pStyle w:val="TableParagraph"/>
              <w:ind w:right="126"/>
              <w:rPr>
                <w:sz w:val="22"/>
              </w:rPr>
            </w:pPr>
            <w:r>
              <w:rPr>
                <w:sz w:val="22"/>
              </w:rPr>
              <w:t>16.5</w:t>
            </w:r>
          </w:p>
        </w:tc>
        <w:tc>
          <w:tcPr>
            <w:tcW w:w="1394" w:type="dxa"/>
          </w:tcPr>
          <w:p>
            <w:pPr>
              <w:pStyle w:val="TableParagraph"/>
              <w:ind w:right="125"/>
              <w:rPr>
                <w:sz w:val="22"/>
              </w:rPr>
            </w:pPr>
            <w:r>
              <w:rPr>
                <w:sz w:val="22"/>
              </w:rPr>
              <w:t>47.4</w:t>
            </w:r>
          </w:p>
        </w:tc>
        <w:tc>
          <w:tcPr>
            <w:tcW w:w="1394" w:type="dxa"/>
          </w:tcPr>
          <w:p>
            <w:pPr>
              <w:pStyle w:val="TableParagraph"/>
              <w:ind w:right="125"/>
              <w:rPr>
                <w:sz w:val="22"/>
              </w:rPr>
            </w:pPr>
            <w:r>
              <w:rPr>
                <w:sz w:val="22"/>
              </w:rPr>
              <w:t>26.8</w:t>
            </w:r>
          </w:p>
        </w:tc>
        <w:tc>
          <w:tcPr>
            <w:tcW w:w="1394" w:type="dxa"/>
          </w:tcPr>
          <w:p>
            <w:pPr>
              <w:pStyle w:val="TableParagraph"/>
              <w:ind w:right="125"/>
              <w:rPr>
                <w:sz w:val="22"/>
              </w:rPr>
            </w:pPr>
            <w:r>
              <w:rPr>
                <w:w w:val="105"/>
                <w:sz w:val="22"/>
              </w:rPr>
              <w:t>8.2</w:t>
            </w:r>
          </w:p>
        </w:tc>
      </w:tr>
    </w:tbl>
    <w:p>
      <w:pPr>
        <w:spacing w:after="0"/>
        <w:rPr>
          <w:sz w:val="22"/>
        </w:rPr>
        <w:sectPr>
          <w:pgSz w:w="11900" w:h="16840"/>
          <w:pgMar w:header="0" w:footer="765" w:top="1320" w:bottom="1040" w:left="1000" w:right="1060"/>
        </w:sectPr>
      </w:pPr>
    </w:p>
    <w:p>
      <w:pPr>
        <w:pStyle w:val="Heading2"/>
      </w:pPr>
      <w:r>
        <w:rPr>
          <w:w w:val="105"/>
        </w:rPr>
        <w:t>３．地区別の動向</w:t>
      </w:r>
    </w:p>
    <w:p>
      <w:pPr>
        <w:pStyle w:val="BodyText"/>
        <w:spacing w:before="3"/>
        <w:rPr>
          <w:sz w:val="25"/>
        </w:rPr>
      </w:pPr>
    </w:p>
    <w:p>
      <w:pPr>
        <w:pStyle w:val="Heading4"/>
        <w:spacing w:line="240" w:lineRule="auto"/>
      </w:pPr>
      <w:r>
        <w:rPr>
          <w:w w:val="105"/>
        </w:rPr>
        <w:t>（１）３か月前と比べた景気の現状判断</w:t>
      </w:r>
    </w:p>
    <w:p>
      <w:pPr>
        <w:pStyle w:val="BodyText"/>
        <w:spacing w:before="2"/>
        <w:rPr>
          <w:sz w:val="27"/>
        </w:rPr>
      </w:pPr>
    </w:p>
    <w:p>
      <w:pPr>
        <w:spacing w:line="307" w:lineRule="exact" w:before="0"/>
        <w:ind w:left="187" w:right="0" w:firstLine="0"/>
        <w:jc w:val="left"/>
        <w:rPr>
          <w:sz w:val="23"/>
        </w:rPr>
      </w:pPr>
      <w:r>
        <w:rPr>
          <w:w w:val="105"/>
          <w:sz w:val="23"/>
        </w:rPr>
        <w:t>＜東青地区＞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50" w:lineRule="exact"/>
              <w:ind w:left="405"/>
              <w:jc w:val="left"/>
              <w:rPr>
                <w:sz w:val="22"/>
              </w:rPr>
            </w:pPr>
            <w:r>
              <w:rPr>
                <w:sz w:val="22"/>
              </w:rPr>
              <w:t>ｎ= 30</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8"/>
              <w:rPr>
                <w:rFonts w:ascii="A-OTF Futo Go B101 Pr6N"/>
                <w:b/>
                <w:sz w:val="22"/>
              </w:rPr>
            </w:pPr>
            <w:r>
              <w:rPr>
                <w:rFonts w:ascii="A-OTF Futo Go B101 Pr6N"/>
                <w:b/>
                <w:w w:val="105"/>
                <w:sz w:val="22"/>
              </w:rPr>
              <w:t>49.1</w:t>
            </w:r>
          </w:p>
        </w:tc>
        <w:tc>
          <w:tcPr>
            <w:tcW w:w="1395" w:type="dxa"/>
          </w:tcPr>
          <w:p>
            <w:pPr>
              <w:pStyle w:val="TableParagraph"/>
              <w:ind w:right="131"/>
              <w:rPr>
                <w:rFonts w:ascii="A-OTF Futo Go B101 Pr6N"/>
                <w:b/>
                <w:sz w:val="22"/>
              </w:rPr>
            </w:pPr>
            <w:r>
              <w:rPr>
                <w:rFonts w:ascii="A-OTF Futo Go B101 Pr6N"/>
                <w:b/>
                <w:w w:val="105"/>
                <w:sz w:val="22"/>
              </w:rPr>
              <w:t>37.5</w:t>
            </w:r>
          </w:p>
        </w:tc>
        <w:tc>
          <w:tcPr>
            <w:tcW w:w="1395" w:type="dxa"/>
          </w:tcPr>
          <w:p>
            <w:pPr>
              <w:pStyle w:val="TableParagraph"/>
              <w:ind w:right="132"/>
              <w:rPr>
                <w:rFonts w:ascii="A-OTF Futo Go B101 Pr6N"/>
                <w:b/>
                <w:sz w:val="22"/>
              </w:rPr>
            </w:pPr>
            <w:r>
              <w:rPr>
                <w:rFonts w:ascii="A-OTF Futo Go B101 Pr6N"/>
                <w:b/>
                <w:w w:val="105"/>
                <w:sz w:val="22"/>
              </w:rPr>
              <w:t>29.5</w:t>
            </w:r>
          </w:p>
        </w:tc>
        <w:tc>
          <w:tcPr>
            <w:tcW w:w="1395" w:type="dxa"/>
          </w:tcPr>
          <w:p>
            <w:pPr>
              <w:pStyle w:val="TableParagraph"/>
              <w:ind w:right="133"/>
              <w:rPr>
                <w:rFonts w:ascii="A-OTF Futo Go B101 Pr6N"/>
                <w:b/>
                <w:sz w:val="22"/>
              </w:rPr>
            </w:pPr>
            <w:r>
              <w:rPr>
                <w:rFonts w:ascii="A-OTF Futo Go B101 Pr6N"/>
                <w:b/>
                <w:w w:val="105"/>
                <w:sz w:val="22"/>
              </w:rPr>
              <w:t>34.8</w:t>
            </w:r>
          </w:p>
        </w:tc>
        <w:tc>
          <w:tcPr>
            <w:tcW w:w="1395" w:type="dxa"/>
          </w:tcPr>
          <w:p>
            <w:pPr>
              <w:pStyle w:val="TableParagraph"/>
              <w:ind w:right="133"/>
              <w:rPr>
                <w:rFonts w:ascii="A-OTF Futo Go B101 Pr6N"/>
                <w:b/>
                <w:sz w:val="22"/>
              </w:rPr>
            </w:pPr>
            <w:r>
              <w:rPr>
                <w:rFonts w:ascii="A-OTF Futo Go B101 Pr6N"/>
                <w:b/>
                <w:w w:val="105"/>
                <w:sz w:val="22"/>
              </w:rPr>
              <w:t>34.2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sz w:val="22"/>
              </w:rPr>
              <w:t>47.6</w:t>
            </w:r>
          </w:p>
        </w:tc>
        <w:tc>
          <w:tcPr>
            <w:tcW w:w="1395" w:type="dxa"/>
          </w:tcPr>
          <w:p>
            <w:pPr>
              <w:pStyle w:val="TableParagraph"/>
              <w:ind w:right="129"/>
              <w:rPr>
                <w:sz w:val="22"/>
              </w:rPr>
            </w:pPr>
            <w:r>
              <w:rPr>
                <w:sz w:val="22"/>
              </w:rPr>
              <w:t>37.0</w:t>
            </w:r>
          </w:p>
        </w:tc>
        <w:tc>
          <w:tcPr>
            <w:tcW w:w="1395" w:type="dxa"/>
          </w:tcPr>
          <w:p>
            <w:pPr>
              <w:pStyle w:val="TableParagraph"/>
              <w:ind w:right="129"/>
              <w:rPr>
                <w:sz w:val="22"/>
              </w:rPr>
            </w:pPr>
            <w:r>
              <w:rPr>
                <w:sz w:val="22"/>
              </w:rPr>
              <w:t>29.8</w:t>
            </w:r>
          </w:p>
        </w:tc>
        <w:tc>
          <w:tcPr>
            <w:tcW w:w="1395" w:type="dxa"/>
          </w:tcPr>
          <w:p>
            <w:pPr>
              <w:pStyle w:val="TableParagraph"/>
              <w:ind w:right="130"/>
              <w:rPr>
                <w:sz w:val="22"/>
              </w:rPr>
            </w:pPr>
            <w:r>
              <w:rPr>
                <w:sz w:val="22"/>
              </w:rPr>
              <w:t>36.4</w:t>
            </w:r>
          </w:p>
        </w:tc>
        <w:tc>
          <w:tcPr>
            <w:tcW w:w="1395" w:type="dxa"/>
          </w:tcPr>
          <w:p>
            <w:pPr>
              <w:pStyle w:val="TableParagraph"/>
              <w:ind w:right="131"/>
              <w:rPr>
                <w:sz w:val="22"/>
              </w:rPr>
            </w:pPr>
            <w:r>
              <w:rPr>
                <w:sz w:val="22"/>
              </w:rPr>
              <w:t>31.5</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8"/>
              <w:rPr>
                <w:sz w:val="22"/>
              </w:rPr>
            </w:pPr>
            <w:r>
              <w:rPr>
                <w:sz w:val="22"/>
              </w:rPr>
              <w:t>50.0</w:t>
            </w:r>
          </w:p>
        </w:tc>
        <w:tc>
          <w:tcPr>
            <w:tcW w:w="1395" w:type="dxa"/>
            <w:tcBorders>
              <w:bottom w:val="dashSmallGap" w:sz="8" w:space="0" w:color="000000"/>
            </w:tcBorders>
          </w:tcPr>
          <w:p>
            <w:pPr>
              <w:pStyle w:val="TableParagraph"/>
              <w:ind w:right="129"/>
              <w:rPr>
                <w:sz w:val="22"/>
              </w:rPr>
            </w:pPr>
            <w:r>
              <w:rPr>
                <w:sz w:val="22"/>
              </w:rPr>
              <w:t>38.9</w:t>
            </w:r>
          </w:p>
        </w:tc>
        <w:tc>
          <w:tcPr>
            <w:tcW w:w="1395" w:type="dxa"/>
            <w:tcBorders>
              <w:bottom w:val="dashSmallGap" w:sz="8" w:space="0" w:color="000000"/>
            </w:tcBorders>
          </w:tcPr>
          <w:p>
            <w:pPr>
              <w:pStyle w:val="TableParagraph"/>
              <w:ind w:right="129"/>
              <w:rPr>
                <w:sz w:val="22"/>
              </w:rPr>
            </w:pPr>
            <w:r>
              <w:rPr>
                <w:sz w:val="22"/>
              </w:rPr>
              <w:t>34.4</w:t>
            </w:r>
          </w:p>
        </w:tc>
        <w:tc>
          <w:tcPr>
            <w:tcW w:w="1395" w:type="dxa"/>
            <w:tcBorders>
              <w:bottom w:val="dashSmallGap" w:sz="8" w:space="0" w:color="000000"/>
            </w:tcBorders>
          </w:tcPr>
          <w:p>
            <w:pPr>
              <w:pStyle w:val="TableParagraph"/>
              <w:ind w:right="130"/>
              <w:rPr>
                <w:sz w:val="22"/>
              </w:rPr>
            </w:pPr>
            <w:r>
              <w:rPr>
                <w:sz w:val="22"/>
              </w:rPr>
              <w:t>27.8</w:t>
            </w:r>
          </w:p>
        </w:tc>
        <w:tc>
          <w:tcPr>
            <w:tcW w:w="1395" w:type="dxa"/>
          </w:tcPr>
          <w:p>
            <w:pPr>
              <w:pStyle w:val="TableParagraph"/>
              <w:ind w:right="131"/>
              <w:rPr>
                <w:sz w:val="22"/>
              </w:rPr>
            </w:pPr>
            <w:r>
              <w:rPr>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8"/>
              <w:rPr>
                <w:sz w:val="22"/>
              </w:rPr>
            </w:pPr>
            <w:r>
              <w:rPr>
                <w:sz w:val="22"/>
              </w:rPr>
              <w:t>25.0</w:t>
            </w:r>
          </w:p>
        </w:tc>
        <w:tc>
          <w:tcPr>
            <w:tcW w:w="1395" w:type="dxa"/>
            <w:tcBorders>
              <w:top w:val="dashSmallGap" w:sz="8" w:space="0" w:color="000000"/>
              <w:bottom w:val="dashSmallGap" w:sz="8" w:space="0" w:color="000000"/>
            </w:tcBorders>
          </w:tcPr>
          <w:p>
            <w:pPr>
              <w:pStyle w:val="TableParagraph"/>
              <w:ind w:right="129"/>
              <w:rPr>
                <w:sz w:val="22"/>
              </w:rPr>
            </w:pPr>
            <w:r>
              <w:rPr>
                <w:sz w:val="22"/>
              </w:rPr>
              <w:t>16.7</w:t>
            </w:r>
          </w:p>
        </w:tc>
        <w:tc>
          <w:tcPr>
            <w:tcW w:w="1395" w:type="dxa"/>
            <w:tcBorders>
              <w:top w:val="dashSmallGap" w:sz="8" w:space="0" w:color="000000"/>
              <w:bottom w:val="dashSmallGap" w:sz="8" w:space="0" w:color="000000"/>
            </w:tcBorders>
          </w:tcPr>
          <w:p>
            <w:pPr>
              <w:pStyle w:val="TableParagraph"/>
              <w:ind w:right="129"/>
              <w:rPr>
                <w:sz w:val="22"/>
              </w:rPr>
            </w:pPr>
            <w:r>
              <w:rPr>
                <w:w w:val="105"/>
                <w:sz w:val="22"/>
              </w:rPr>
              <w:t>8.3</w:t>
            </w:r>
          </w:p>
        </w:tc>
        <w:tc>
          <w:tcPr>
            <w:tcW w:w="1395" w:type="dxa"/>
            <w:tcBorders>
              <w:top w:val="dashSmallGap" w:sz="8" w:space="0" w:color="000000"/>
              <w:bottom w:val="dashSmallGap" w:sz="8" w:space="0" w:color="000000"/>
            </w:tcBorders>
          </w:tcPr>
          <w:p>
            <w:pPr>
              <w:pStyle w:val="TableParagraph"/>
              <w:ind w:right="130"/>
              <w:rPr>
                <w:sz w:val="22"/>
              </w:rPr>
            </w:pPr>
            <w:r>
              <w:rPr>
                <w:sz w:val="22"/>
              </w:rPr>
              <w:t>62.5</w:t>
            </w:r>
          </w:p>
        </w:tc>
        <w:tc>
          <w:tcPr>
            <w:tcW w:w="1395" w:type="dxa"/>
          </w:tcPr>
          <w:p>
            <w:pPr>
              <w:pStyle w:val="TableParagraph"/>
              <w:ind w:right="131"/>
              <w:rPr>
                <w:sz w:val="22"/>
              </w:rPr>
            </w:pPr>
            <w:r>
              <w:rPr>
                <w:w w:val="105"/>
                <w:sz w:val="22"/>
              </w:rPr>
              <w:t>8.3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8"/>
              <w:rPr>
                <w:sz w:val="22"/>
              </w:rPr>
            </w:pPr>
            <w:r>
              <w:rPr>
                <w:sz w:val="22"/>
              </w:rPr>
              <w:t>50.0</w:t>
            </w:r>
          </w:p>
        </w:tc>
        <w:tc>
          <w:tcPr>
            <w:tcW w:w="1395" w:type="dxa"/>
            <w:tcBorders>
              <w:top w:val="dashSmallGap" w:sz="8" w:space="0" w:color="000000"/>
              <w:bottom w:val="dashSmallGap" w:sz="8" w:space="0" w:color="000000"/>
            </w:tcBorders>
          </w:tcPr>
          <w:p>
            <w:pPr>
              <w:pStyle w:val="TableParagraph"/>
              <w:ind w:right="129"/>
              <w:rPr>
                <w:sz w:val="22"/>
              </w:rPr>
            </w:pPr>
            <w:r>
              <w:rPr>
                <w:sz w:val="22"/>
              </w:rPr>
              <w:t>38.9</w:t>
            </w:r>
          </w:p>
        </w:tc>
        <w:tc>
          <w:tcPr>
            <w:tcW w:w="1395" w:type="dxa"/>
            <w:tcBorders>
              <w:top w:val="dashSmallGap" w:sz="8" w:space="0" w:color="000000"/>
              <w:bottom w:val="dashSmallGap" w:sz="8" w:space="0" w:color="000000"/>
            </w:tcBorders>
          </w:tcPr>
          <w:p>
            <w:pPr>
              <w:pStyle w:val="TableParagraph"/>
              <w:ind w:right="129"/>
              <w:rPr>
                <w:sz w:val="22"/>
              </w:rPr>
            </w:pPr>
            <w:r>
              <w:rPr>
                <w:sz w:val="22"/>
              </w:rPr>
              <w:t>30.6</w:t>
            </w:r>
          </w:p>
        </w:tc>
        <w:tc>
          <w:tcPr>
            <w:tcW w:w="1395" w:type="dxa"/>
            <w:tcBorders>
              <w:top w:val="dashSmallGap" w:sz="8" w:space="0" w:color="000000"/>
              <w:bottom w:val="dashSmallGap" w:sz="8" w:space="0" w:color="000000"/>
            </w:tcBorders>
          </w:tcPr>
          <w:p>
            <w:pPr>
              <w:pStyle w:val="TableParagraph"/>
              <w:ind w:right="130"/>
              <w:rPr>
                <w:sz w:val="22"/>
              </w:rPr>
            </w:pPr>
            <w:r>
              <w:rPr>
                <w:sz w:val="22"/>
              </w:rPr>
              <w:t>36.1</w:t>
            </w:r>
          </w:p>
        </w:tc>
        <w:tc>
          <w:tcPr>
            <w:tcW w:w="1395" w:type="dxa"/>
          </w:tcPr>
          <w:p>
            <w:pPr>
              <w:pStyle w:val="TableParagraph"/>
              <w:ind w:right="131"/>
              <w:rPr>
                <w:sz w:val="22"/>
              </w:rPr>
            </w:pPr>
            <w:r>
              <w:rPr>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sz w:val="22"/>
              </w:rPr>
              <w:t>50.0</w:t>
            </w:r>
          </w:p>
        </w:tc>
        <w:tc>
          <w:tcPr>
            <w:tcW w:w="1395" w:type="dxa"/>
            <w:tcBorders>
              <w:top w:val="dashSmallGap" w:sz="8" w:space="0" w:color="000000"/>
            </w:tcBorders>
          </w:tcPr>
          <w:p>
            <w:pPr>
              <w:pStyle w:val="TableParagraph"/>
              <w:ind w:right="129"/>
              <w:rPr>
                <w:sz w:val="22"/>
              </w:rPr>
            </w:pPr>
            <w:r>
              <w:rPr>
                <w:sz w:val="22"/>
              </w:rPr>
              <w:t>50.0</w:t>
            </w:r>
          </w:p>
        </w:tc>
        <w:tc>
          <w:tcPr>
            <w:tcW w:w="1395" w:type="dxa"/>
            <w:tcBorders>
              <w:top w:val="dashSmallGap" w:sz="8" w:space="0" w:color="000000"/>
            </w:tcBorders>
          </w:tcPr>
          <w:p>
            <w:pPr>
              <w:pStyle w:val="TableParagraph"/>
              <w:ind w:right="129"/>
              <w:rPr>
                <w:sz w:val="22"/>
              </w:rPr>
            </w:pPr>
            <w:r>
              <w:rPr>
                <w:sz w:val="22"/>
              </w:rPr>
              <w:t>50.0</w:t>
            </w:r>
          </w:p>
        </w:tc>
        <w:tc>
          <w:tcPr>
            <w:tcW w:w="1395" w:type="dxa"/>
            <w:tcBorders>
              <w:top w:val="dashSmallGap" w:sz="8" w:space="0" w:color="000000"/>
            </w:tcBorders>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sz w:val="22"/>
              </w:rPr>
              <w:t>56.3</w:t>
            </w:r>
          </w:p>
        </w:tc>
        <w:tc>
          <w:tcPr>
            <w:tcW w:w="1395" w:type="dxa"/>
          </w:tcPr>
          <w:p>
            <w:pPr>
              <w:pStyle w:val="TableParagraph"/>
              <w:ind w:right="129"/>
              <w:rPr>
                <w:sz w:val="22"/>
              </w:rPr>
            </w:pPr>
            <w:r>
              <w:rPr>
                <w:sz w:val="22"/>
              </w:rPr>
              <w:t>43.8</w:t>
            </w:r>
          </w:p>
        </w:tc>
        <w:tc>
          <w:tcPr>
            <w:tcW w:w="1395" w:type="dxa"/>
          </w:tcPr>
          <w:p>
            <w:pPr>
              <w:pStyle w:val="TableParagraph"/>
              <w:ind w:right="129"/>
              <w:rPr>
                <w:sz w:val="22"/>
              </w:rPr>
            </w:pPr>
            <w:r>
              <w:rPr>
                <w:sz w:val="22"/>
              </w:rPr>
              <w:t>18.8</w:t>
            </w:r>
          </w:p>
        </w:tc>
        <w:tc>
          <w:tcPr>
            <w:tcW w:w="1395" w:type="dxa"/>
          </w:tcPr>
          <w:p>
            <w:pPr>
              <w:pStyle w:val="TableParagraph"/>
              <w:ind w:right="130"/>
              <w:rPr>
                <w:sz w:val="22"/>
              </w:rPr>
            </w:pPr>
            <w:r>
              <w:rPr>
                <w:sz w:val="22"/>
              </w:rPr>
              <w:t>16.7</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sz w:val="22"/>
              </w:rPr>
              <w:t>50.0</w:t>
            </w:r>
          </w:p>
        </w:tc>
        <w:tc>
          <w:tcPr>
            <w:tcW w:w="1395" w:type="dxa"/>
          </w:tcPr>
          <w:p>
            <w:pPr>
              <w:pStyle w:val="TableParagraph"/>
              <w:ind w:right="129"/>
              <w:rPr>
                <w:sz w:val="22"/>
              </w:rPr>
            </w:pPr>
            <w:r>
              <w:rPr>
                <w:sz w:val="22"/>
              </w:rPr>
              <w:t>33.3</w:t>
            </w:r>
          </w:p>
        </w:tc>
        <w:tc>
          <w:tcPr>
            <w:tcW w:w="1395" w:type="dxa"/>
          </w:tcPr>
          <w:p>
            <w:pPr>
              <w:pStyle w:val="TableParagraph"/>
              <w:ind w:right="129"/>
              <w:rPr>
                <w:sz w:val="22"/>
              </w:rPr>
            </w:pPr>
            <w:r>
              <w:rPr>
                <w:sz w:val="22"/>
              </w:rPr>
              <w:t>41.7</w:t>
            </w:r>
          </w:p>
        </w:tc>
        <w:tc>
          <w:tcPr>
            <w:tcW w:w="1395" w:type="dxa"/>
          </w:tcPr>
          <w:p>
            <w:pPr>
              <w:pStyle w:val="TableParagraph"/>
              <w:ind w:right="130"/>
              <w:rPr>
                <w:sz w:val="22"/>
              </w:rPr>
            </w:pPr>
            <w:r>
              <w:rPr>
                <w:sz w:val="22"/>
              </w:rPr>
              <w:t>41.7</w:t>
            </w:r>
          </w:p>
        </w:tc>
        <w:tc>
          <w:tcPr>
            <w:tcW w:w="1395" w:type="dxa"/>
          </w:tcPr>
          <w:p>
            <w:pPr>
              <w:pStyle w:val="TableParagraph"/>
              <w:ind w:right="131"/>
              <w:rPr>
                <w:sz w:val="22"/>
              </w:rPr>
            </w:pPr>
            <w:r>
              <w:rPr>
                <w:sz w:val="22"/>
              </w:rPr>
              <w:t>33.3</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6"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6"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3.6</w:t>
            </w:r>
          </w:p>
        </w:tc>
        <w:tc>
          <w:tcPr>
            <w:tcW w:w="1394" w:type="dxa"/>
          </w:tcPr>
          <w:p>
            <w:pPr>
              <w:pStyle w:val="TableParagraph"/>
              <w:ind w:right="126"/>
              <w:rPr>
                <w:sz w:val="22"/>
              </w:rPr>
            </w:pPr>
            <w:r>
              <w:rPr>
                <w:sz w:val="22"/>
              </w:rPr>
              <w:t>10.7</w:t>
            </w:r>
          </w:p>
        </w:tc>
        <w:tc>
          <w:tcPr>
            <w:tcW w:w="1394" w:type="dxa"/>
          </w:tcPr>
          <w:p>
            <w:pPr>
              <w:pStyle w:val="TableParagraph"/>
              <w:ind w:right="125"/>
              <w:rPr>
                <w:sz w:val="22"/>
              </w:rPr>
            </w:pPr>
            <w:r>
              <w:rPr>
                <w:sz w:val="22"/>
              </w:rPr>
              <w:t>64.3</w:t>
            </w:r>
          </w:p>
        </w:tc>
        <w:tc>
          <w:tcPr>
            <w:tcW w:w="1394" w:type="dxa"/>
          </w:tcPr>
          <w:p>
            <w:pPr>
              <w:pStyle w:val="TableParagraph"/>
              <w:ind w:right="125"/>
              <w:rPr>
                <w:sz w:val="22"/>
              </w:rPr>
            </w:pPr>
            <w:r>
              <w:rPr>
                <w:sz w:val="22"/>
              </w:rPr>
              <w:t>21.4</w:t>
            </w:r>
          </w:p>
        </w:tc>
        <w:tc>
          <w:tcPr>
            <w:tcW w:w="1394" w:type="dxa"/>
          </w:tcPr>
          <w:p>
            <w:pPr>
              <w:pStyle w:val="TableParagraph"/>
              <w:ind w:right="125"/>
              <w:rPr>
                <w:sz w:val="22"/>
              </w:rPr>
            </w:pPr>
            <w:r>
              <w:rPr>
                <w:w w:val="105"/>
                <w:sz w:val="22"/>
              </w:rPr>
              <w:t>0.0</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3.3</w:t>
            </w:r>
          </w:p>
        </w:tc>
        <w:tc>
          <w:tcPr>
            <w:tcW w:w="1394" w:type="dxa"/>
          </w:tcPr>
          <w:p>
            <w:pPr>
              <w:pStyle w:val="TableParagraph"/>
              <w:ind w:right="125"/>
              <w:rPr>
                <w:sz w:val="22"/>
              </w:rPr>
            </w:pPr>
            <w:r>
              <w:rPr>
                <w:sz w:val="22"/>
              </w:rPr>
              <w:t>53.3</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10.0</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39.3</w:t>
            </w:r>
          </w:p>
        </w:tc>
        <w:tc>
          <w:tcPr>
            <w:tcW w:w="1394" w:type="dxa"/>
          </w:tcPr>
          <w:p>
            <w:pPr>
              <w:pStyle w:val="TableParagraph"/>
              <w:ind w:right="125"/>
              <w:rPr>
                <w:sz w:val="22"/>
              </w:rPr>
            </w:pPr>
            <w:r>
              <w:rPr>
                <w:sz w:val="22"/>
              </w:rPr>
              <w:t>39.3</w:t>
            </w:r>
          </w:p>
        </w:tc>
        <w:tc>
          <w:tcPr>
            <w:tcW w:w="1394" w:type="dxa"/>
          </w:tcPr>
          <w:p>
            <w:pPr>
              <w:pStyle w:val="TableParagraph"/>
              <w:ind w:right="125"/>
              <w:rPr>
                <w:sz w:val="22"/>
              </w:rPr>
            </w:pPr>
            <w:r>
              <w:rPr>
                <w:sz w:val="22"/>
              </w:rPr>
              <w:t>21.4</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10.7</w:t>
            </w:r>
          </w:p>
        </w:tc>
        <w:tc>
          <w:tcPr>
            <w:tcW w:w="1394" w:type="dxa"/>
          </w:tcPr>
          <w:p>
            <w:pPr>
              <w:pStyle w:val="TableParagraph"/>
              <w:ind w:right="125"/>
              <w:rPr>
                <w:sz w:val="22"/>
              </w:rPr>
            </w:pPr>
            <w:r>
              <w:rPr>
                <w:sz w:val="22"/>
              </w:rPr>
              <w:t>42.9</w:t>
            </w:r>
          </w:p>
        </w:tc>
        <w:tc>
          <w:tcPr>
            <w:tcW w:w="1394" w:type="dxa"/>
          </w:tcPr>
          <w:p>
            <w:pPr>
              <w:pStyle w:val="TableParagraph"/>
              <w:ind w:right="125"/>
              <w:rPr>
                <w:sz w:val="22"/>
              </w:rPr>
            </w:pPr>
            <w:r>
              <w:rPr>
                <w:sz w:val="22"/>
              </w:rPr>
              <w:t>21.4</w:t>
            </w:r>
          </w:p>
        </w:tc>
        <w:tc>
          <w:tcPr>
            <w:tcW w:w="1394" w:type="dxa"/>
          </w:tcPr>
          <w:p>
            <w:pPr>
              <w:pStyle w:val="TableParagraph"/>
              <w:ind w:right="125"/>
              <w:rPr>
                <w:sz w:val="22"/>
              </w:rPr>
            </w:pPr>
            <w:r>
              <w:rPr>
                <w:sz w:val="22"/>
              </w:rPr>
              <w:t>25.0</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3.3</w:t>
            </w:r>
          </w:p>
        </w:tc>
        <w:tc>
          <w:tcPr>
            <w:tcW w:w="1394" w:type="dxa"/>
          </w:tcPr>
          <w:p>
            <w:pPr>
              <w:pStyle w:val="TableParagraph"/>
              <w:ind w:right="125"/>
              <w:rPr>
                <w:sz w:val="22"/>
              </w:rPr>
            </w:pPr>
            <w:r>
              <w:rPr>
                <w:sz w:val="22"/>
              </w:rPr>
              <w:t>53.3</w:t>
            </w:r>
          </w:p>
        </w:tc>
        <w:tc>
          <w:tcPr>
            <w:tcW w:w="1394" w:type="dxa"/>
          </w:tcPr>
          <w:p>
            <w:pPr>
              <w:pStyle w:val="TableParagraph"/>
              <w:ind w:right="125"/>
              <w:rPr>
                <w:sz w:val="22"/>
              </w:rPr>
            </w:pPr>
            <w:r>
              <w:rPr>
                <w:sz w:val="22"/>
              </w:rPr>
              <w:t>20.0</w:t>
            </w:r>
          </w:p>
        </w:tc>
        <w:tc>
          <w:tcPr>
            <w:tcW w:w="1394" w:type="dxa"/>
          </w:tcPr>
          <w:p>
            <w:pPr>
              <w:pStyle w:val="TableParagraph"/>
              <w:ind w:right="125"/>
              <w:rPr>
                <w:sz w:val="22"/>
              </w:rPr>
            </w:pPr>
            <w:r>
              <w:rPr>
                <w:sz w:val="22"/>
              </w:rPr>
              <w:t>23.3</w:t>
            </w:r>
          </w:p>
        </w:tc>
      </w:tr>
    </w:tbl>
    <w:p>
      <w:pPr>
        <w:pStyle w:val="BodyText"/>
        <w:rPr>
          <w:sz w:val="39"/>
        </w:rPr>
      </w:pPr>
    </w:p>
    <w:p>
      <w:pPr>
        <w:pStyle w:val="Heading4"/>
      </w:pPr>
      <w:r>
        <w:rPr>
          <w:w w:val="105"/>
        </w:rPr>
        <w:t>＜津軽地区＞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29</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8"/>
              <w:rPr>
                <w:rFonts w:ascii="A-OTF Futo Go B101 Pr6N"/>
                <w:b/>
                <w:sz w:val="22"/>
              </w:rPr>
            </w:pPr>
            <w:r>
              <w:rPr>
                <w:rFonts w:ascii="A-OTF Futo Go B101 Pr6N"/>
                <w:b/>
                <w:w w:val="105"/>
                <w:sz w:val="22"/>
              </w:rPr>
              <w:t>42.5</w:t>
            </w:r>
          </w:p>
        </w:tc>
        <w:tc>
          <w:tcPr>
            <w:tcW w:w="1395" w:type="dxa"/>
          </w:tcPr>
          <w:p>
            <w:pPr>
              <w:pStyle w:val="TableParagraph"/>
              <w:ind w:right="19"/>
              <w:rPr>
                <w:rFonts w:ascii="A-OTF Futo Go B101 Pr6N"/>
                <w:b/>
                <w:sz w:val="22"/>
              </w:rPr>
            </w:pPr>
            <w:r>
              <w:rPr>
                <w:rFonts w:ascii="A-OTF Futo Go B101 Pr6N"/>
                <w:b/>
                <w:w w:val="105"/>
                <w:sz w:val="22"/>
              </w:rPr>
              <w:t>33.6</w:t>
            </w:r>
          </w:p>
        </w:tc>
        <w:tc>
          <w:tcPr>
            <w:tcW w:w="1395" w:type="dxa"/>
          </w:tcPr>
          <w:p>
            <w:pPr>
              <w:pStyle w:val="TableParagraph"/>
              <w:ind w:right="132"/>
              <w:rPr>
                <w:rFonts w:ascii="A-OTF Futo Go B101 Pr6N"/>
                <w:b/>
                <w:sz w:val="22"/>
              </w:rPr>
            </w:pPr>
            <w:r>
              <w:rPr>
                <w:rFonts w:ascii="A-OTF Futo Go B101 Pr6N"/>
                <w:b/>
                <w:w w:val="105"/>
                <w:sz w:val="22"/>
              </w:rPr>
              <w:t>38.9</w:t>
            </w:r>
          </w:p>
        </w:tc>
        <w:tc>
          <w:tcPr>
            <w:tcW w:w="1395" w:type="dxa"/>
          </w:tcPr>
          <w:p>
            <w:pPr>
              <w:pStyle w:val="TableParagraph"/>
              <w:ind w:right="133"/>
              <w:rPr>
                <w:rFonts w:ascii="A-OTF Futo Go B101 Pr6N"/>
                <w:b/>
                <w:sz w:val="22"/>
              </w:rPr>
            </w:pPr>
            <w:r>
              <w:rPr>
                <w:rFonts w:ascii="A-OTF Futo Go B101 Pr6N"/>
                <w:b/>
                <w:w w:val="105"/>
                <w:sz w:val="22"/>
              </w:rPr>
              <w:t>37.0</w:t>
            </w:r>
          </w:p>
        </w:tc>
        <w:tc>
          <w:tcPr>
            <w:tcW w:w="1395" w:type="dxa"/>
          </w:tcPr>
          <w:p>
            <w:pPr>
              <w:pStyle w:val="TableParagraph"/>
              <w:ind w:right="133"/>
              <w:rPr>
                <w:rFonts w:ascii="A-OTF Futo Go B101 Pr6N"/>
                <w:b/>
                <w:sz w:val="22"/>
              </w:rPr>
            </w:pPr>
            <w:r>
              <w:rPr>
                <w:rFonts w:ascii="A-OTF Futo Go B101 Pr6N"/>
                <w:b/>
                <w:w w:val="105"/>
                <w:sz w:val="22"/>
              </w:rPr>
              <w:t>40.5</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sz w:val="22"/>
              </w:rPr>
              <w:t>38.6</w:t>
            </w:r>
          </w:p>
        </w:tc>
        <w:tc>
          <w:tcPr>
            <w:tcW w:w="1395" w:type="dxa"/>
          </w:tcPr>
          <w:p>
            <w:pPr>
              <w:pStyle w:val="TableParagraph"/>
              <w:ind w:right="18"/>
              <w:rPr>
                <w:sz w:val="22"/>
              </w:rPr>
            </w:pPr>
            <w:r>
              <w:rPr>
                <w:sz w:val="22"/>
              </w:rPr>
              <w:t>32.1</w:t>
            </w:r>
          </w:p>
        </w:tc>
        <w:tc>
          <w:tcPr>
            <w:tcW w:w="1395" w:type="dxa"/>
          </w:tcPr>
          <w:p>
            <w:pPr>
              <w:pStyle w:val="TableParagraph"/>
              <w:ind w:right="129"/>
              <w:rPr>
                <w:sz w:val="22"/>
              </w:rPr>
            </w:pPr>
            <w:r>
              <w:rPr>
                <w:sz w:val="22"/>
              </w:rPr>
              <w:t>40.8</w:t>
            </w:r>
          </w:p>
        </w:tc>
        <w:tc>
          <w:tcPr>
            <w:tcW w:w="1395" w:type="dxa"/>
          </w:tcPr>
          <w:p>
            <w:pPr>
              <w:pStyle w:val="TableParagraph"/>
              <w:ind w:right="130"/>
              <w:rPr>
                <w:sz w:val="22"/>
              </w:rPr>
            </w:pPr>
            <w:r>
              <w:rPr>
                <w:sz w:val="22"/>
              </w:rPr>
              <w:t>36.3</w:t>
            </w:r>
          </w:p>
        </w:tc>
        <w:tc>
          <w:tcPr>
            <w:tcW w:w="1395" w:type="dxa"/>
          </w:tcPr>
          <w:p>
            <w:pPr>
              <w:pStyle w:val="TableParagraph"/>
              <w:ind w:right="131"/>
              <w:rPr>
                <w:sz w:val="22"/>
              </w:rPr>
            </w:pPr>
            <w:r>
              <w:rPr>
                <w:sz w:val="22"/>
              </w:rPr>
              <w:t>38.6</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8"/>
              <w:rPr>
                <w:sz w:val="22"/>
              </w:rPr>
            </w:pPr>
            <w:r>
              <w:rPr>
                <w:sz w:val="22"/>
              </w:rPr>
              <w:t>36.1</w:t>
            </w:r>
          </w:p>
        </w:tc>
        <w:tc>
          <w:tcPr>
            <w:tcW w:w="1395" w:type="dxa"/>
          </w:tcPr>
          <w:p>
            <w:pPr>
              <w:pStyle w:val="TableParagraph"/>
              <w:ind w:right="18"/>
              <w:rPr>
                <w:sz w:val="22"/>
              </w:rPr>
            </w:pPr>
            <w:r>
              <w:rPr>
                <w:sz w:val="22"/>
              </w:rPr>
              <w:t>33.3</w:t>
            </w:r>
          </w:p>
        </w:tc>
        <w:tc>
          <w:tcPr>
            <w:tcW w:w="1395" w:type="dxa"/>
          </w:tcPr>
          <w:p>
            <w:pPr>
              <w:pStyle w:val="TableParagraph"/>
              <w:ind w:right="129"/>
              <w:rPr>
                <w:sz w:val="22"/>
              </w:rPr>
            </w:pPr>
            <w:r>
              <w:rPr>
                <w:sz w:val="22"/>
              </w:rPr>
              <w:t>22.2</w:t>
            </w:r>
          </w:p>
        </w:tc>
        <w:tc>
          <w:tcPr>
            <w:tcW w:w="1395" w:type="dxa"/>
          </w:tcPr>
          <w:p>
            <w:pPr>
              <w:pStyle w:val="TableParagraph"/>
              <w:ind w:right="130"/>
              <w:rPr>
                <w:sz w:val="22"/>
              </w:rPr>
            </w:pPr>
            <w:r>
              <w:rPr>
                <w:sz w:val="22"/>
              </w:rPr>
              <w:t>33.3</w:t>
            </w:r>
          </w:p>
        </w:tc>
        <w:tc>
          <w:tcPr>
            <w:tcW w:w="1395" w:type="dxa"/>
          </w:tcPr>
          <w:p>
            <w:pPr>
              <w:pStyle w:val="TableParagraph"/>
              <w:ind w:right="131"/>
              <w:rPr>
                <w:sz w:val="22"/>
              </w:rPr>
            </w:pPr>
            <w:r>
              <w:rPr>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8"/>
              <w:rPr>
                <w:sz w:val="22"/>
              </w:rPr>
            </w:pPr>
            <w:r>
              <w:rPr>
                <w:sz w:val="22"/>
              </w:rPr>
              <w:t>33.3</w:t>
            </w:r>
          </w:p>
        </w:tc>
        <w:tc>
          <w:tcPr>
            <w:tcW w:w="1395" w:type="dxa"/>
          </w:tcPr>
          <w:p>
            <w:pPr>
              <w:pStyle w:val="TableParagraph"/>
              <w:ind w:right="18"/>
              <w:rPr>
                <w:sz w:val="22"/>
              </w:rPr>
            </w:pPr>
            <w:r>
              <w:rPr>
                <w:sz w:val="22"/>
              </w:rPr>
              <w:t>16.7</w:t>
            </w:r>
          </w:p>
        </w:tc>
        <w:tc>
          <w:tcPr>
            <w:tcW w:w="1395" w:type="dxa"/>
          </w:tcPr>
          <w:p>
            <w:pPr>
              <w:pStyle w:val="TableParagraph"/>
              <w:ind w:right="129"/>
              <w:rPr>
                <w:sz w:val="22"/>
              </w:rPr>
            </w:pPr>
            <w:r>
              <w:rPr>
                <w:sz w:val="22"/>
              </w:rPr>
              <w:t>62.5</w:t>
            </w:r>
          </w:p>
        </w:tc>
        <w:tc>
          <w:tcPr>
            <w:tcW w:w="1395" w:type="dxa"/>
          </w:tcPr>
          <w:p>
            <w:pPr>
              <w:pStyle w:val="TableParagraph"/>
              <w:ind w:right="130"/>
              <w:rPr>
                <w:sz w:val="22"/>
              </w:rPr>
            </w:pPr>
            <w:r>
              <w:rPr>
                <w:sz w:val="22"/>
              </w:rPr>
              <w:t>66.7</w:t>
            </w:r>
          </w:p>
        </w:tc>
        <w:tc>
          <w:tcPr>
            <w:tcW w:w="1395" w:type="dxa"/>
          </w:tcPr>
          <w:p>
            <w:pPr>
              <w:pStyle w:val="TableParagraph"/>
              <w:ind w:right="131"/>
              <w:rPr>
                <w:sz w:val="22"/>
              </w:rPr>
            </w:pPr>
            <w:r>
              <w:rPr>
                <w:sz w:val="22"/>
              </w:rPr>
              <w:t>16.7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8"/>
              <w:rPr>
                <w:sz w:val="22"/>
              </w:rPr>
            </w:pPr>
            <w:r>
              <w:rPr>
                <w:sz w:val="22"/>
              </w:rPr>
              <w:t>43.8</w:t>
            </w:r>
          </w:p>
        </w:tc>
        <w:tc>
          <w:tcPr>
            <w:tcW w:w="1395" w:type="dxa"/>
          </w:tcPr>
          <w:p>
            <w:pPr>
              <w:pStyle w:val="TableParagraph"/>
              <w:ind w:right="18"/>
              <w:rPr>
                <w:sz w:val="22"/>
              </w:rPr>
            </w:pPr>
            <w:r>
              <w:rPr>
                <w:sz w:val="22"/>
              </w:rPr>
              <w:t>35.7</w:t>
            </w:r>
          </w:p>
        </w:tc>
        <w:tc>
          <w:tcPr>
            <w:tcW w:w="1395" w:type="dxa"/>
          </w:tcPr>
          <w:p>
            <w:pPr>
              <w:pStyle w:val="TableParagraph"/>
              <w:ind w:right="129"/>
              <w:rPr>
                <w:sz w:val="22"/>
              </w:rPr>
            </w:pPr>
            <w:r>
              <w:rPr>
                <w:sz w:val="22"/>
              </w:rPr>
              <w:t>66.7</w:t>
            </w:r>
          </w:p>
        </w:tc>
        <w:tc>
          <w:tcPr>
            <w:tcW w:w="1395" w:type="dxa"/>
          </w:tcPr>
          <w:p>
            <w:pPr>
              <w:pStyle w:val="TableParagraph"/>
              <w:ind w:right="130"/>
              <w:rPr>
                <w:sz w:val="22"/>
              </w:rPr>
            </w:pPr>
            <w:r>
              <w:rPr>
                <w:sz w:val="22"/>
              </w:rPr>
              <w:t>28.6</w:t>
            </w:r>
          </w:p>
        </w:tc>
        <w:tc>
          <w:tcPr>
            <w:tcW w:w="1395" w:type="dxa"/>
          </w:tcPr>
          <w:p>
            <w:pPr>
              <w:pStyle w:val="TableParagraph"/>
              <w:ind w:right="131"/>
              <w:rPr>
                <w:sz w:val="22"/>
              </w:rPr>
            </w:pPr>
            <w:r>
              <w:rPr>
                <w:sz w:val="22"/>
              </w:rPr>
              <w:t>53.1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8"/>
              <w:rPr>
                <w:sz w:val="22"/>
              </w:rPr>
            </w:pPr>
            <w:r>
              <w:rPr>
                <w:sz w:val="22"/>
              </w:rPr>
              <w:t>37.5</w:t>
            </w:r>
          </w:p>
        </w:tc>
        <w:tc>
          <w:tcPr>
            <w:tcW w:w="1395" w:type="dxa"/>
          </w:tcPr>
          <w:p>
            <w:pPr>
              <w:pStyle w:val="TableParagraph"/>
              <w:ind w:right="18"/>
              <w:rPr>
                <w:sz w:val="22"/>
              </w:rPr>
            </w:pPr>
            <w:r>
              <w:rPr>
                <w:sz w:val="22"/>
              </w:rPr>
              <w:t>37.5</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25.0</w:t>
            </w:r>
          </w:p>
        </w:tc>
        <w:tc>
          <w:tcPr>
            <w:tcW w:w="1395" w:type="dxa"/>
          </w:tcPr>
          <w:p>
            <w:pPr>
              <w:pStyle w:val="TableParagraph"/>
              <w:ind w:right="131"/>
              <w:rPr>
                <w:sz w:val="22"/>
              </w:rPr>
            </w:pPr>
            <w:r>
              <w:rPr>
                <w:sz w:val="22"/>
              </w:rPr>
              <w:t>37.5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sz w:val="22"/>
              </w:rPr>
              <w:t>54.2</w:t>
            </w:r>
          </w:p>
        </w:tc>
        <w:tc>
          <w:tcPr>
            <w:tcW w:w="1395" w:type="dxa"/>
          </w:tcPr>
          <w:p>
            <w:pPr>
              <w:pStyle w:val="TableParagraph"/>
              <w:ind w:right="18"/>
              <w:rPr>
                <w:sz w:val="22"/>
              </w:rPr>
            </w:pPr>
            <w:r>
              <w:rPr>
                <w:sz w:val="22"/>
              </w:rPr>
              <w:t>33.3</w:t>
            </w:r>
          </w:p>
        </w:tc>
        <w:tc>
          <w:tcPr>
            <w:tcW w:w="1395" w:type="dxa"/>
          </w:tcPr>
          <w:p>
            <w:pPr>
              <w:pStyle w:val="TableParagraph"/>
              <w:ind w:right="129"/>
              <w:rPr>
                <w:sz w:val="22"/>
              </w:rPr>
            </w:pPr>
            <w:r>
              <w:rPr>
                <w:sz w:val="22"/>
              </w:rPr>
              <w:t>37.5</w:t>
            </w:r>
          </w:p>
        </w:tc>
        <w:tc>
          <w:tcPr>
            <w:tcW w:w="1395" w:type="dxa"/>
          </w:tcPr>
          <w:p>
            <w:pPr>
              <w:pStyle w:val="TableParagraph"/>
              <w:ind w:right="130"/>
              <w:rPr>
                <w:sz w:val="22"/>
              </w:rPr>
            </w:pPr>
            <w:r>
              <w:rPr>
                <w:sz w:val="22"/>
              </w:rPr>
              <w:t>40.0</w:t>
            </w:r>
          </w:p>
        </w:tc>
        <w:tc>
          <w:tcPr>
            <w:tcW w:w="1395" w:type="dxa"/>
          </w:tcPr>
          <w:p>
            <w:pPr>
              <w:pStyle w:val="TableParagraph"/>
              <w:ind w:right="131"/>
              <w:rPr>
                <w:sz w:val="22"/>
              </w:rPr>
            </w:pPr>
            <w:r>
              <w:rPr>
                <w:sz w:val="22"/>
              </w:rPr>
              <w:t>45.0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sz w:val="22"/>
              </w:rPr>
              <w:t>50.0</w:t>
            </w:r>
          </w:p>
        </w:tc>
        <w:tc>
          <w:tcPr>
            <w:tcW w:w="1395" w:type="dxa"/>
          </w:tcPr>
          <w:p>
            <w:pPr>
              <w:pStyle w:val="TableParagraph"/>
              <w:ind w:right="18"/>
              <w:rPr>
                <w:sz w:val="22"/>
              </w:rPr>
            </w:pPr>
            <w:r>
              <w:rPr>
                <w:sz w:val="22"/>
              </w:rPr>
              <w:t>50.0</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37.5</w:t>
            </w:r>
          </w:p>
        </w:tc>
        <w:tc>
          <w:tcPr>
            <w:tcW w:w="1395" w:type="dxa"/>
          </w:tcPr>
          <w:p>
            <w:pPr>
              <w:pStyle w:val="TableParagraph"/>
              <w:ind w:right="131"/>
              <w:rPr>
                <w:sz w:val="22"/>
              </w:rPr>
            </w:pPr>
            <w:r>
              <w:rPr>
                <w:sz w:val="22"/>
              </w:rPr>
              <w:t>50.0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13.3</w:t>
            </w:r>
          </w:p>
        </w:tc>
        <w:tc>
          <w:tcPr>
            <w:tcW w:w="1394" w:type="dxa"/>
          </w:tcPr>
          <w:p>
            <w:pPr>
              <w:pStyle w:val="TableParagraph"/>
              <w:ind w:right="125"/>
              <w:rPr>
                <w:sz w:val="22"/>
              </w:rPr>
            </w:pPr>
            <w:r>
              <w:rPr>
                <w:sz w:val="22"/>
              </w:rPr>
              <w:t>50.0</w:t>
            </w:r>
          </w:p>
        </w:tc>
        <w:tc>
          <w:tcPr>
            <w:tcW w:w="1394" w:type="dxa"/>
          </w:tcPr>
          <w:p>
            <w:pPr>
              <w:pStyle w:val="TableParagraph"/>
              <w:ind w:right="125"/>
              <w:rPr>
                <w:sz w:val="22"/>
              </w:rPr>
            </w:pPr>
            <w:r>
              <w:rPr>
                <w:sz w:val="22"/>
              </w:rPr>
              <w:t>30.0</w:t>
            </w:r>
          </w:p>
        </w:tc>
        <w:tc>
          <w:tcPr>
            <w:tcW w:w="1394" w:type="dxa"/>
          </w:tcPr>
          <w:p>
            <w:pPr>
              <w:pStyle w:val="TableParagraph"/>
              <w:ind w:right="125"/>
              <w:rPr>
                <w:sz w:val="22"/>
              </w:rPr>
            </w:pPr>
            <w:r>
              <w:rPr>
                <w:w w:val="105"/>
                <w:sz w:val="22"/>
              </w:rPr>
              <w:t>6.7</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6.9</w:t>
            </w:r>
          </w:p>
        </w:tc>
        <w:tc>
          <w:tcPr>
            <w:tcW w:w="1394" w:type="dxa"/>
          </w:tcPr>
          <w:p>
            <w:pPr>
              <w:pStyle w:val="TableParagraph"/>
              <w:ind w:right="125"/>
              <w:rPr>
                <w:sz w:val="22"/>
              </w:rPr>
            </w:pPr>
            <w:r>
              <w:rPr>
                <w:sz w:val="22"/>
              </w:rPr>
              <w:t>27.6</w:t>
            </w:r>
          </w:p>
        </w:tc>
        <w:tc>
          <w:tcPr>
            <w:tcW w:w="1394" w:type="dxa"/>
          </w:tcPr>
          <w:p>
            <w:pPr>
              <w:pStyle w:val="TableParagraph"/>
              <w:ind w:right="125"/>
              <w:rPr>
                <w:sz w:val="22"/>
              </w:rPr>
            </w:pPr>
            <w:r>
              <w:rPr>
                <w:sz w:val="22"/>
              </w:rPr>
              <w:t>58.6</w:t>
            </w:r>
          </w:p>
        </w:tc>
        <w:tc>
          <w:tcPr>
            <w:tcW w:w="1394" w:type="dxa"/>
          </w:tcPr>
          <w:p>
            <w:pPr>
              <w:pStyle w:val="TableParagraph"/>
              <w:ind w:right="125"/>
              <w:rPr>
                <w:sz w:val="22"/>
              </w:rPr>
            </w:pPr>
            <w:r>
              <w:rPr>
                <w:w w:val="105"/>
                <w:sz w:val="22"/>
              </w:rPr>
              <w:t>6.9</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3.7</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37.0</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14.8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40.7</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14.8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6.9</w:t>
            </w:r>
          </w:p>
        </w:tc>
        <w:tc>
          <w:tcPr>
            <w:tcW w:w="1394" w:type="dxa"/>
          </w:tcPr>
          <w:p>
            <w:pPr>
              <w:pStyle w:val="TableParagraph"/>
              <w:ind w:right="125"/>
              <w:rPr>
                <w:sz w:val="22"/>
              </w:rPr>
            </w:pPr>
            <w:r>
              <w:rPr>
                <w:sz w:val="22"/>
              </w:rPr>
              <w:t>55.2</w:t>
            </w:r>
          </w:p>
        </w:tc>
        <w:tc>
          <w:tcPr>
            <w:tcW w:w="1394" w:type="dxa"/>
          </w:tcPr>
          <w:p>
            <w:pPr>
              <w:pStyle w:val="TableParagraph"/>
              <w:ind w:right="125"/>
              <w:rPr>
                <w:sz w:val="22"/>
              </w:rPr>
            </w:pPr>
            <w:r>
              <w:rPr>
                <w:sz w:val="22"/>
              </w:rPr>
              <w:t>31.0</w:t>
            </w:r>
          </w:p>
        </w:tc>
        <w:tc>
          <w:tcPr>
            <w:tcW w:w="1394" w:type="dxa"/>
          </w:tcPr>
          <w:p>
            <w:pPr>
              <w:pStyle w:val="TableParagraph"/>
              <w:ind w:right="125"/>
              <w:rPr>
                <w:sz w:val="22"/>
              </w:rPr>
            </w:pPr>
            <w:r>
              <w:rPr>
                <w:w w:val="105"/>
                <w:sz w:val="22"/>
              </w:rPr>
              <w:t>6.9</w:t>
            </w:r>
          </w:p>
        </w:tc>
      </w:tr>
    </w:tbl>
    <w:p>
      <w:pPr>
        <w:spacing w:after="0"/>
        <w:rPr>
          <w:sz w:val="22"/>
        </w:rPr>
        <w:sectPr>
          <w:pgSz w:w="11900" w:h="16840"/>
          <w:pgMar w:header="0" w:footer="765" w:top="1320" w:bottom="1040" w:left="1000" w:right="1060"/>
        </w:sectPr>
      </w:pPr>
    </w:p>
    <w:p>
      <w:pPr>
        <w:pStyle w:val="BodyText"/>
        <w:rPr>
          <w:sz w:val="20"/>
        </w:rPr>
      </w:pPr>
    </w:p>
    <w:p>
      <w:pPr>
        <w:pStyle w:val="BodyText"/>
        <w:rPr>
          <w:sz w:val="20"/>
        </w:rPr>
      </w:pPr>
    </w:p>
    <w:p>
      <w:pPr>
        <w:pStyle w:val="BodyText"/>
        <w:spacing w:before="1"/>
        <w:rPr>
          <w:sz w:val="15"/>
        </w:rPr>
      </w:pPr>
    </w:p>
    <w:p>
      <w:pPr>
        <w:pStyle w:val="Heading4"/>
        <w:spacing w:before="108"/>
      </w:pPr>
      <w:r>
        <w:rPr>
          <w:w w:val="105"/>
        </w:rPr>
        <w:t>＜県南地区＞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28</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39.7</w:t>
            </w:r>
          </w:p>
        </w:tc>
        <w:tc>
          <w:tcPr>
            <w:tcW w:w="1395" w:type="dxa"/>
          </w:tcPr>
          <w:p>
            <w:pPr>
              <w:pStyle w:val="TableParagraph"/>
              <w:ind w:right="131"/>
              <w:rPr>
                <w:rFonts w:ascii="A-OTF Futo Go B101 Pr6N"/>
                <w:b/>
                <w:sz w:val="22"/>
              </w:rPr>
            </w:pPr>
            <w:r>
              <w:rPr>
                <w:rFonts w:ascii="A-OTF Futo Go B101 Pr6N"/>
                <w:b/>
                <w:w w:val="105"/>
                <w:sz w:val="22"/>
              </w:rPr>
              <w:t>36.6</w:t>
            </w:r>
          </w:p>
        </w:tc>
        <w:tc>
          <w:tcPr>
            <w:tcW w:w="1395" w:type="dxa"/>
          </w:tcPr>
          <w:p>
            <w:pPr>
              <w:pStyle w:val="TableParagraph"/>
              <w:ind w:right="132"/>
              <w:rPr>
                <w:rFonts w:ascii="A-OTF Futo Go B101 Pr6N"/>
                <w:b/>
                <w:sz w:val="22"/>
              </w:rPr>
            </w:pPr>
            <w:r>
              <w:rPr>
                <w:rFonts w:ascii="A-OTF Futo Go B101 Pr6N"/>
                <w:b/>
                <w:w w:val="105"/>
                <w:sz w:val="22"/>
              </w:rPr>
              <w:t>31.9</w:t>
            </w:r>
          </w:p>
        </w:tc>
        <w:tc>
          <w:tcPr>
            <w:tcW w:w="1395" w:type="dxa"/>
          </w:tcPr>
          <w:p>
            <w:pPr>
              <w:pStyle w:val="TableParagraph"/>
              <w:ind w:right="133"/>
              <w:rPr>
                <w:rFonts w:ascii="A-OTF Futo Go B101 Pr6N"/>
                <w:b/>
                <w:sz w:val="22"/>
              </w:rPr>
            </w:pPr>
            <w:r>
              <w:rPr>
                <w:rFonts w:ascii="A-OTF Futo Go B101 Pr6N"/>
                <w:b/>
                <w:w w:val="105"/>
                <w:sz w:val="22"/>
              </w:rPr>
              <w:t>35.2</w:t>
            </w:r>
          </w:p>
        </w:tc>
        <w:tc>
          <w:tcPr>
            <w:tcW w:w="1395" w:type="dxa"/>
          </w:tcPr>
          <w:p>
            <w:pPr>
              <w:pStyle w:val="TableParagraph"/>
              <w:ind w:right="133"/>
              <w:rPr>
                <w:rFonts w:ascii="A-OTF Futo Go B101 Pr6N"/>
                <w:b/>
                <w:sz w:val="22"/>
              </w:rPr>
            </w:pPr>
            <w:r>
              <w:rPr>
                <w:rFonts w:ascii="A-OTF Futo Go B101 Pr6N"/>
                <w:b/>
                <w:w w:val="105"/>
                <w:sz w:val="22"/>
              </w:rPr>
              <w:t>36.6</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40.0</w:t>
            </w:r>
          </w:p>
        </w:tc>
        <w:tc>
          <w:tcPr>
            <w:tcW w:w="1395" w:type="dxa"/>
          </w:tcPr>
          <w:p>
            <w:pPr>
              <w:pStyle w:val="TableParagraph"/>
              <w:ind w:right="129"/>
              <w:rPr>
                <w:sz w:val="22"/>
              </w:rPr>
            </w:pPr>
            <w:r>
              <w:rPr>
                <w:sz w:val="22"/>
              </w:rPr>
              <w:t>35.5</w:t>
            </w:r>
          </w:p>
        </w:tc>
        <w:tc>
          <w:tcPr>
            <w:tcW w:w="1395" w:type="dxa"/>
          </w:tcPr>
          <w:p>
            <w:pPr>
              <w:pStyle w:val="TableParagraph"/>
              <w:ind w:right="129"/>
              <w:rPr>
                <w:sz w:val="22"/>
              </w:rPr>
            </w:pPr>
            <w:r>
              <w:rPr>
                <w:sz w:val="22"/>
              </w:rPr>
              <w:t>31.3</w:t>
            </w:r>
          </w:p>
        </w:tc>
        <w:tc>
          <w:tcPr>
            <w:tcW w:w="1395" w:type="dxa"/>
          </w:tcPr>
          <w:p>
            <w:pPr>
              <w:pStyle w:val="TableParagraph"/>
              <w:ind w:right="130"/>
              <w:rPr>
                <w:sz w:val="22"/>
              </w:rPr>
            </w:pPr>
            <w:r>
              <w:rPr>
                <w:sz w:val="22"/>
              </w:rPr>
              <w:t>34.7</w:t>
            </w:r>
          </w:p>
        </w:tc>
        <w:tc>
          <w:tcPr>
            <w:tcW w:w="1395" w:type="dxa"/>
          </w:tcPr>
          <w:p>
            <w:pPr>
              <w:pStyle w:val="TableParagraph"/>
              <w:ind w:right="131"/>
              <w:rPr>
                <w:sz w:val="22"/>
              </w:rPr>
            </w:pPr>
            <w:r>
              <w:rPr>
                <w:sz w:val="22"/>
              </w:rPr>
              <w:t>32.9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sz w:val="22"/>
              </w:rPr>
              <w:t>34.4</w:t>
            </w:r>
          </w:p>
        </w:tc>
        <w:tc>
          <w:tcPr>
            <w:tcW w:w="1395" w:type="dxa"/>
          </w:tcPr>
          <w:p>
            <w:pPr>
              <w:pStyle w:val="TableParagraph"/>
              <w:ind w:right="129"/>
              <w:rPr>
                <w:sz w:val="22"/>
              </w:rPr>
            </w:pPr>
            <w:r>
              <w:rPr>
                <w:sz w:val="22"/>
              </w:rPr>
              <w:t>34.4</w:t>
            </w:r>
          </w:p>
        </w:tc>
        <w:tc>
          <w:tcPr>
            <w:tcW w:w="1395" w:type="dxa"/>
          </w:tcPr>
          <w:p>
            <w:pPr>
              <w:pStyle w:val="TableParagraph"/>
              <w:ind w:right="129"/>
              <w:rPr>
                <w:sz w:val="22"/>
              </w:rPr>
            </w:pPr>
            <w:r>
              <w:rPr>
                <w:sz w:val="22"/>
              </w:rPr>
              <w:t>31.3</w:t>
            </w:r>
          </w:p>
        </w:tc>
        <w:tc>
          <w:tcPr>
            <w:tcW w:w="1395" w:type="dxa"/>
          </w:tcPr>
          <w:p>
            <w:pPr>
              <w:pStyle w:val="TableParagraph"/>
              <w:ind w:right="130"/>
              <w:rPr>
                <w:sz w:val="22"/>
              </w:rPr>
            </w:pPr>
            <w:r>
              <w:rPr>
                <w:sz w:val="22"/>
              </w:rPr>
              <w:t>33.3</w:t>
            </w:r>
          </w:p>
        </w:tc>
        <w:tc>
          <w:tcPr>
            <w:tcW w:w="1395" w:type="dxa"/>
          </w:tcPr>
          <w:p>
            <w:pPr>
              <w:pStyle w:val="TableParagraph"/>
              <w:ind w:right="131"/>
              <w:rPr>
                <w:sz w:val="22"/>
              </w:rPr>
            </w:pPr>
            <w:r>
              <w:rPr>
                <w:sz w:val="22"/>
              </w:rPr>
              <w:t>30.6</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37.5</w:t>
            </w:r>
          </w:p>
        </w:tc>
        <w:tc>
          <w:tcPr>
            <w:tcW w:w="1395" w:type="dxa"/>
          </w:tcPr>
          <w:p>
            <w:pPr>
              <w:pStyle w:val="TableParagraph"/>
              <w:ind w:right="129"/>
              <w:rPr>
                <w:sz w:val="22"/>
              </w:rPr>
            </w:pPr>
            <w:r>
              <w:rPr>
                <w:sz w:val="22"/>
              </w:rPr>
              <w:t>41.7</w:t>
            </w:r>
          </w:p>
        </w:tc>
        <w:tc>
          <w:tcPr>
            <w:tcW w:w="1395" w:type="dxa"/>
          </w:tcPr>
          <w:p>
            <w:pPr>
              <w:pStyle w:val="TableParagraph"/>
              <w:ind w:right="130"/>
              <w:rPr>
                <w:sz w:val="22"/>
              </w:rPr>
            </w:pPr>
            <w:r>
              <w:rPr>
                <w:sz w:val="22"/>
              </w:rPr>
              <w:t>25.0</w:t>
            </w:r>
          </w:p>
        </w:tc>
        <w:tc>
          <w:tcPr>
            <w:tcW w:w="1395" w:type="dxa"/>
          </w:tcPr>
          <w:p>
            <w:pPr>
              <w:pStyle w:val="TableParagraph"/>
              <w:ind w:right="131"/>
              <w:rPr>
                <w:sz w:val="22"/>
              </w:rPr>
            </w:pPr>
            <w:r>
              <w:rPr>
                <w:sz w:val="22"/>
              </w:rPr>
              <w:t>37.5</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sz w:val="22"/>
              </w:rPr>
              <w:t>39.3</w:t>
            </w:r>
          </w:p>
        </w:tc>
        <w:tc>
          <w:tcPr>
            <w:tcW w:w="1395" w:type="dxa"/>
          </w:tcPr>
          <w:p>
            <w:pPr>
              <w:pStyle w:val="TableParagraph"/>
              <w:ind w:right="129"/>
              <w:rPr>
                <w:sz w:val="22"/>
              </w:rPr>
            </w:pPr>
            <w:r>
              <w:rPr>
                <w:sz w:val="22"/>
              </w:rPr>
              <w:t>32.1</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35.0</w:t>
            </w:r>
          </w:p>
        </w:tc>
        <w:tc>
          <w:tcPr>
            <w:tcW w:w="1395" w:type="dxa"/>
          </w:tcPr>
          <w:p>
            <w:pPr>
              <w:pStyle w:val="TableParagraph"/>
              <w:ind w:right="131"/>
              <w:rPr>
                <w:sz w:val="22"/>
              </w:rPr>
            </w:pPr>
            <w:r>
              <w:rPr>
                <w:sz w:val="22"/>
              </w:rPr>
              <w:t>29.2</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37.5</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35.7</w:t>
            </w:r>
          </w:p>
        </w:tc>
        <w:tc>
          <w:tcPr>
            <w:tcW w:w="1395" w:type="dxa"/>
          </w:tcPr>
          <w:p>
            <w:pPr>
              <w:pStyle w:val="TableParagraph"/>
              <w:ind w:right="129"/>
              <w:rPr>
                <w:sz w:val="22"/>
              </w:rPr>
            </w:pPr>
            <w:r>
              <w:rPr>
                <w:sz w:val="22"/>
              </w:rPr>
              <w:t>32.1</w:t>
            </w:r>
          </w:p>
        </w:tc>
        <w:tc>
          <w:tcPr>
            <w:tcW w:w="1395" w:type="dxa"/>
          </w:tcPr>
          <w:p>
            <w:pPr>
              <w:pStyle w:val="TableParagraph"/>
              <w:ind w:right="129"/>
              <w:rPr>
                <w:sz w:val="22"/>
              </w:rPr>
            </w:pPr>
            <w:r>
              <w:rPr>
                <w:sz w:val="22"/>
              </w:rPr>
              <w:t>28.6</w:t>
            </w:r>
          </w:p>
        </w:tc>
        <w:tc>
          <w:tcPr>
            <w:tcW w:w="1395" w:type="dxa"/>
          </w:tcPr>
          <w:p>
            <w:pPr>
              <w:pStyle w:val="TableParagraph"/>
              <w:ind w:right="130"/>
              <w:rPr>
                <w:sz w:val="22"/>
              </w:rPr>
            </w:pPr>
            <w:r>
              <w:rPr>
                <w:sz w:val="22"/>
              </w:rPr>
              <w:t>32.1</w:t>
            </w:r>
          </w:p>
        </w:tc>
        <w:tc>
          <w:tcPr>
            <w:tcW w:w="1395" w:type="dxa"/>
          </w:tcPr>
          <w:p>
            <w:pPr>
              <w:pStyle w:val="TableParagraph"/>
              <w:ind w:right="131"/>
              <w:rPr>
                <w:sz w:val="22"/>
              </w:rPr>
            </w:pPr>
            <w:r>
              <w:rPr>
                <w:sz w:val="22"/>
              </w:rPr>
              <w:t>42.9</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62.5</w:t>
            </w:r>
          </w:p>
        </w:tc>
        <w:tc>
          <w:tcPr>
            <w:tcW w:w="1395" w:type="dxa"/>
          </w:tcPr>
          <w:p>
            <w:pPr>
              <w:pStyle w:val="TableParagraph"/>
              <w:ind w:right="129"/>
              <w:rPr>
                <w:sz w:val="22"/>
              </w:rPr>
            </w:pPr>
            <w:r>
              <w:rPr>
                <w:sz w:val="22"/>
              </w:rPr>
              <w:t>50.0</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bl>
    <w:p>
      <w:pPr>
        <w:pStyle w:val="BodyText"/>
        <w:spacing w:before="224"/>
        <w:ind w:left="394"/>
      </w:pPr>
      <w:r>
        <w:rPr>
          <w:spacing w:val="-3"/>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3.4</w:t>
            </w:r>
          </w:p>
        </w:tc>
        <w:tc>
          <w:tcPr>
            <w:tcW w:w="1394" w:type="dxa"/>
          </w:tcPr>
          <w:p>
            <w:pPr>
              <w:pStyle w:val="TableParagraph"/>
              <w:ind w:right="125"/>
              <w:rPr>
                <w:sz w:val="22"/>
              </w:rPr>
            </w:pPr>
            <w:r>
              <w:rPr>
                <w:sz w:val="22"/>
              </w:rPr>
              <w:t>65.5</w:t>
            </w:r>
          </w:p>
        </w:tc>
        <w:tc>
          <w:tcPr>
            <w:tcW w:w="1394" w:type="dxa"/>
          </w:tcPr>
          <w:p>
            <w:pPr>
              <w:pStyle w:val="TableParagraph"/>
              <w:ind w:right="125"/>
              <w:rPr>
                <w:sz w:val="22"/>
              </w:rPr>
            </w:pPr>
            <w:r>
              <w:rPr>
                <w:sz w:val="22"/>
              </w:rPr>
              <w:t>17.2</w:t>
            </w:r>
          </w:p>
        </w:tc>
        <w:tc>
          <w:tcPr>
            <w:tcW w:w="1394" w:type="dxa"/>
          </w:tcPr>
          <w:p>
            <w:pPr>
              <w:pStyle w:val="TableParagraph"/>
              <w:ind w:right="125"/>
              <w:rPr>
                <w:sz w:val="22"/>
              </w:rPr>
            </w:pPr>
            <w:r>
              <w:rPr>
                <w:sz w:val="22"/>
              </w:rPr>
              <w:t>13.8</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3.6</w:t>
            </w:r>
          </w:p>
        </w:tc>
        <w:tc>
          <w:tcPr>
            <w:tcW w:w="1394" w:type="dxa"/>
          </w:tcPr>
          <w:p>
            <w:pPr>
              <w:pStyle w:val="TableParagraph"/>
              <w:ind w:right="125"/>
              <w:rPr>
                <w:sz w:val="22"/>
              </w:rPr>
            </w:pPr>
            <w:r>
              <w:rPr>
                <w:sz w:val="22"/>
              </w:rPr>
              <w:t>50.0</w:t>
            </w:r>
          </w:p>
        </w:tc>
        <w:tc>
          <w:tcPr>
            <w:tcW w:w="1394" w:type="dxa"/>
          </w:tcPr>
          <w:p>
            <w:pPr>
              <w:pStyle w:val="TableParagraph"/>
              <w:ind w:right="125"/>
              <w:rPr>
                <w:sz w:val="22"/>
              </w:rPr>
            </w:pPr>
            <w:r>
              <w:rPr>
                <w:sz w:val="22"/>
              </w:rPr>
              <w:t>35.7</w:t>
            </w:r>
          </w:p>
        </w:tc>
        <w:tc>
          <w:tcPr>
            <w:tcW w:w="1394" w:type="dxa"/>
          </w:tcPr>
          <w:p>
            <w:pPr>
              <w:pStyle w:val="TableParagraph"/>
              <w:ind w:right="125"/>
              <w:rPr>
                <w:sz w:val="22"/>
              </w:rPr>
            </w:pPr>
            <w:r>
              <w:rPr>
                <w:sz w:val="22"/>
              </w:rPr>
              <w:t>10.7</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41.4</w:t>
            </w:r>
          </w:p>
        </w:tc>
        <w:tc>
          <w:tcPr>
            <w:tcW w:w="1394" w:type="dxa"/>
          </w:tcPr>
          <w:p>
            <w:pPr>
              <w:pStyle w:val="TableParagraph"/>
              <w:ind w:right="125"/>
              <w:rPr>
                <w:sz w:val="22"/>
              </w:rPr>
            </w:pPr>
            <w:r>
              <w:rPr>
                <w:sz w:val="22"/>
              </w:rPr>
              <w:t>44.8</w:t>
            </w:r>
          </w:p>
        </w:tc>
        <w:tc>
          <w:tcPr>
            <w:tcW w:w="1394" w:type="dxa"/>
          </w:tcPr>
          <w:p>
            <w:pPr>
              <w:pStyle w:val="TableParagraph"/>
              <w:ind w:right="125"/>
              <w:rPr>
                <w:sz w:val="22"/>
              </w:rPr>
            </w:pPr>
            <w:r>
              <w:rPr>
                <w:sz w:val="22"/>
              </w:rPr>
              <w:t>13.8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3.7</w:t>
            </w:r>
          </w:p>
        </w:tc>
        <w:tc>
          <w:tcPr>
            <w:tcW w:w="1394" w:type="dxa"/>
          </w:tcPr>
          <w:p>
            <w:pPr>
              <w:pStyle w:val="TableParagraph"/>
              <w:ind w:right="125"/>
              <w:rPr>
                <w:sz w:val="22"/>
              </w:rPr>
            </w:pPr>
            <w:r>
              <w:rPr>
                <w:sz w:val="22"/>
              </w:rPr>
              <w:t>48.1</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14.8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3.6</w:t>
            </w:r>
          </w:p>
        </w:tc>
        <w:tc>
          <w:tcPr>
            <w:tcW w:w="1394" w:type="dxa"/>
          </w:tcPr>
          <w:p>
            <w:pPr>
              <w:pStyle w:val="TableParagraph"/>
              <w:ind w:right="125"/>
              <w:rPr>
                <w:sz w:val="22"/>
              </w:rPr>
            </w:pPr>
            <w:r>
              <w:rPr>
                <w:sz w:val="22"/>
              </w:rPr>
              <w:t>50.0</w:t>
            </w:r>
          </w:p>
        </w:tc>
        <w:tc>
          <w:tcPr>
            <w:tcW w:w="1394" w:type="dxa"/>
          </w:tcPr>
          <w:p>
            <w:pPr>
              <w:pStyle w:val="TableParagraph"/>
              <w:ind w:right="125"/>
              <w:rPr>
                <w:sz w:val="22"/>
              </w:rPr>
            </w:pPr>
            <w:r>
              <w:rPr>
                <w:sz w:val="22"/>
              </w:rPr>
              <w:t>35.7</w:t>
            </w:r>
          </w:p>
        </w:tc>
        <w:tc>
          <w:tcPr>
            <w:tcW w:w="1394" w:type="dxa"/>
          </w:tcPr>
          <w:p>
            <w:pPr>
              <w:pStyle w:val="TableParagraph"/>
              <w:ind w:right="125"/>
              <w:rPr>
                <w:sz w:val="22"/>
              </w:rPr>
            </w:pPr>
            <w:r>
              <w:rPr>
                <w:sz w:val="22"/>
              </w:rPr>
              <w:t>10.7</w:t>
            </w:r>
          </w:p>
        </w:tc>
      </w:tr>
    </w:tbl>
    <w:p>
      <w:pPr>
        <w:pStyle w:val="BodyText"/>
        <w:spacing w:before="13"/>
        <w:rPr>
          <w:sz w:val="38"/>
        </w:rPr>
      </w:pPr>
    </w:p>
    <w:p>
      <w:pPr>
        <w:pStyle w:val="Heading4"/>
      </w:pPr>
      <w:r>
        <w:rPr>
          <w:spacing w:val="-3"/>
        </w:rPr>
        <w:t>＜下北地区＞（参考）</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10</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33.3</w:t>
            </w:r>
          </w:p>
        </w:tc>
        <w:tc>
          <w:tcPr>
            <w:tcW w:w="1395" w:type="dxa"/>
          </w:tcPr>
          <w:p>
            <w:pPr>
              <w:pStyle w:val="TableParagraph"/>
              <w:ind w:left="790"/>
              <w:jc w:val="left"/>
              <w:rPr>
                <w:rFonts w:ascii="A-OTF Futo Go B101 Pr6N"/>
                <w:b/>
                <w:sz w:val="22"/>
              </w:rPr>
            </w:pPr>
            <w:r>
              <w:rPr>
                <w:rFonts w:ascii="A-OTF Futo Go B101 Pr6N"/>
                <w:b/>
                <w:w w:val="105"/>
                <w:sz w:val="22"/>
              </w:rPr>
              <w:t>30.6</w:t>
            </w:r>
          </w:p>
        </w:tc>
        <w:tc>
          <w:tcPr>
            <w:tcW w:w="1395" w:type="dxa"/>
          </w:tcPr>
          <w:p>
            <w:pPr>
              <w:pStyle w:val="TableParagraph"/>
              <w:ind w:right="132"/>
              <w:rPr>
                <w:rFonts w:ascii="A-OTF Futo Go B101 Pr6N"/>
                <w:b/>
                <w:sz w:val="22"/>
              </w:rPr>
            </w:pPr>
            <w:r>
              <w:rPr>
                <w:rFonts w:ascii="A-OTF Futo Go B101 Pr6N"/>
                <w:b/>
                <w:w w:val="105"/>
                <w:sz w:val="22"/>
              </w:rPr>
              <w:t>42.9</w:t>
            </w:r>
          </w:p>
        </w:tc>
        <w:tc>
          <w:tcPr>
            <w:tcW w:w="1395" w:type="dxa"/>
          </w:tcPr>
          <w:p>
            <w:pPr>
              <w:pStyle w:val="TableParagraph"/>
              <w:ind w:right="133"/>
              <w:rPr>
                <w:rFonts w:ascii="A-OTF Futo Go B101 Pr6N"/>
                <w:b/>
                <w:sz w:val="22"/>
              </w:rPr>
            </w:pPr>
            <w:r>
              <w:rPr>
                <w:rFonts w:ascii="A-OTF Futo Go B101 Pr6N"/>
                <w:b/>
                <w:w w:val="105"/>
                <w:sz w:val="22"/>
              </w:rPr>
              <w:t>22.2</w:t>
            </w:r>
          </w:p>
        </w:tc>
        <w:tc>
          <w:tcPr>
            <w:tcW w:w="1395" w:type="dxa"/>
          </w:tcPr>
          <w:p>
            <w:pPr>
              <w:pStyle w:val="TableParagraph"/>
              <w:ind w:left="788"/>
              <w:jc w:val="left"/>
              <w:rPr>
                <w:rFonts w:ascii="A-OTF Futo Go B101 Pr6N"/>
                <w:b/>
                <w:sz w:val="22"/>
              </w:rPr>
            </w:pPr>
            <w:r>
              <w:rPr>
                <w:rFonts w:ascii="A-OTF Futo Go B101 Pr6N"/>
                <w:b/>
                <w:w w:val="105"/>
                <w:sz w:val="22"/>
              </w:rPr>
              <w:t>32.5</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34.4</w:t>
            </w:r>
          </w:p>
        </w:tc>
        <w:tc>
          <w:tcPr>
            <w:tcW w:w="1395" w:type="dxa"/>
          </w:tcPr>
          <w:p>
            <w:pPr>
              <w:pStyle w:val="TableParagraph"/>
              <w:ind w:left="802"/>
              <w:jc w:val="left"/>
              <w:rPr>
                <w:sz w:val="22"/>
              </w:rPr>
            </w:pPr>
            <w:r>
              <w:rPr>
                <w:w w:val="105"/>
                <w:sz w:val="22"/>
              </w:rPr>
              <w:t>28.1</w:t>
            </w:r>
          </w:p>
        </w:tc>
        <w:tc>
          <w:tcPr>
            <w:tcW w:w="1395" w:type="dxa"/>
          </w:tcPr>
          <w:p>
            <w:pPr>
              <w:pStyle w:val="TableParagraph"/>
              <w:ind w:right="129"/>
              <w:rPr>
                <w:sz w:val="22"/>
              </w:rPr>
            </w:pPr>
            <w:r>
              <w:rPr>
                <w:sz w:val="22"/>
              </w:rPr>
              <w:t>45.8</w:t>
            </w:r>
          </w:p>
        </w:tc>
        <w:tc>
          <w:tcPr>
            <w:tcW w:w="1395" w:type="dxa"/>
          </w:tcPr>
          <w:p>
            <w:pPr>
              <w:pStyle w:val="TableParagraph"/>
              <w:ind w:right="130"/>
              <w:rPr>
                <w:sz w:val="22"/>
              </w:rPr>
            </w:pPr>
            <w:r>
              <w:rPr>
                <w:sz w:val="22"/>
              </w:rPr>
              <w:t>18.8</w:t>
            </w:r>
          </w:p>
        </w:tc>
        <w:tc>
          <w:tcPr>
            <w:tcW w:w="1395" w:type="dxa"/>
          </w:tcPr>
          <w:p>
            <w:pPr>
              <w:pStyle w:val="TableParagraph"/>
              <w:ind w:left="800"/>
              <w:jc w:val="left"/>
              <w:rPr>
                <w:sz w:val="22"/>
              </w:rPr>
            </w:pPr>
            <w:r>
              <w:rPr>
                <w:w w:val="105"/>
                <w:sz w:val="22"/>
              </w:rPr>
              <w:t>30.6</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Borders>
              <w:bottom w:val="dashSmallGap" w:sz="8" w:space="0" w:color="000000"/>
            </w:tcBorders>
          </w:tcPr>
          <w:p>
            <w:pPr>
              <w:pStyle w:val="TableParagraph"/>
              <w:ind w:right="128"/>
              <w:rPr>
                <w:sz w:val="22"/>
              </w:rPr>
            </w:pPr>
            <w:r>
              <w:rPr>
                <w:sz w:val="22"/>
              </w:rPr>
              <w:t>41.7</w:t>
            </w:r>
          </w:p>
        </w:tc>
        <w:tc>
          <w:tcPr>
            <w:tcW w:w="1395" w:type="dxa"/>
            <w:tcBorders>
              <w:bottom w:val="dashSmallGap" w:sz="8" w:space="0" w:color="000000"/>
            </w:tcBorders>
          </w:tcPr>
          <w:p>
            <w:pPr>
              <w:pStyle w:val="TableParagraph"/>
              <w:ind w:left="802"/>
              <w:jc w:val="left"/>
              <w:rPr>
                <w:sz w:val="22"/>
              </w:rPr>
            </w:pPr>
            <w:r>
              <w:rPr>
                <w:w w:val="105"/>
                <w:sz w:val="22"/>
              </w:rPr>
              <w:t>25.0</w:t>
            </w:r>
          </w:p>
        </w:tc>
        <w:tc>
          <w:tcPr>
            <w:tcW w:w="1395" w:type="dxa"/>
            <w:tcBorders>
              <w:bottom w:val="dashSmallGap" w:sz="8" w:space="0" w:color="000000"/>
            </w:tcBorders>
          </w:tcPr>
          <w:p>
            <w:pPr>
              <w:pStyle w:val="TableParagraph"/>
              <w:ind w:right="129"/>
              <w:rPr>
                <w:sz w:val="22"/>
              </w:rPr>
            </w:pPr>
            <w:r>
              <w:rPr>
                <w:sz w:val="22"/>
              </w:rPr>
              <w:t>50.0</w:t>
            </w:r>
          </w:p>
        </w:tc>
        <w:tc>
          <w:tcPr>
            <w:tcW w:w="1395" w:type="dxa"/>
            <w:tcBorders>
              <w:bottom w:val="dashSmallGap" w:sz="8" w:space="0" w:color="000000"/>
            </w:tcBorders>
          </w:tcPr>
          <w:p>
            <w:pPr>
              <w:pStyle w:val="TableParagraph"/>
              <w:ind w:right="130"/>
              <w:rPr>
                <w:sz w:val="22"/>
              </w:rPr>
            </w:pPr>
            <w:r>
              <w:rPr>
                <w:w w:val="105"/>
                <w:sz w:val="22"/>
              </w:rPr>
              <w:t>8.3</w:t>
            </w:r>
          </w:p>
        </w:tc>
        <w:tc>
          <w:tcPr>
            <w:tcW w:w="1395" w:type="dxa"/>
          </w:tcPr>
          <w:p>
            <w:pPr>
              <w:pStyle w:val="TableParagraph"/>
              <w:ind w:left="800"/>
              <w:jc w:val="left"/>
              <w:rPr>
                <w:sz w:val="22"/>
              </w:rPr>
            </w:pPr>
            <w:r>
              <w:rPr>
                <w:w w:val="105"/>
                <w:sz w:val="22"/>
              </w:rPr>
              <w:t>16.7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Borders>
              <w:top w:val="dashSmallGap" w:sz="8" w:space="0" w:color="000000"/>
              <w:bottom w:val="dashSmallGap" w:sz="8" w:space="0" w:color="000000"/>
            </w:tcBorders>
          </w:tcPr>
          <w:p>
            <w:pPr>
              <w:pStyle w:val="TableParagraph"/>
              <w:ind w:right="128"/>
              <w:rPr>
                <w:sz w:val="22"/>
              </w:rPr>
            </w:pPr>
            <w:r>
              <w:rPr>
                <w:sz w:val="22"/>
              </w:rPr>
              <w:t>25.0</w:t>
            </w:r>
          </w:p>
        </w:tc>
        <w:tc>
          <w:tcPr>
            <w:tcW w:w="1395" w:type="dxa"/>
            <w:tcBorders>
              <w:top w:val="dashSmallGap" w:sz="8" w:space="0" w:color="000000"/>
              <w:bottom w:val="dashSmallGap" w:sz="8" w:space="0" w:color="000000"/>
            </w:tcBorders>
          </w:tcPr>
          <w:p>
            <w:pPr>
              <w:pStyle w:val="TableParagraph"/>
              <w:ind w:left="802"/>
              <w:jc w:val="left"/>
              <w:rPr>
                <w:sz w:val="22"/>
              </w:rPr>
            </w:pPr>
            <w:r>
              <w:rPr>
                <w:w w:val="105"/>
                <w:sz w:val="22"/>
              </w:rPr>
              <w:t>41.7</w:t>
            </w:r>
          </w:p>
        </w:tc>
        <w:tc>
          <w:tcPr>
            <w:tcW w:w="1395" w:type="dxa"/>
            <w:tcBorders>
              <w:top w:val="dashSmallGap" w:sz="8" w:space="0" w:color="000000"/>
              <w:bottom w:val="dashSmallGap" w:sz="8" w:space="0" w:color="000000"/>
            </w:tcBorders>
          </w:tcPr>
          <w:p>
            <w:pPr>
              <w:pStyle w:val="TableParagraph"/>
              <w:ind w:right="129"/>
              <w:rPr>
                <w:sz w:val="22"/>
              </w:rPr>
            </w:pPr>
            <w:r>
              <w:rPr>
                <w:sz w:val="22"/>
              </w:rPr>
              <w:t>50.0</w:t>
            </w:r>
          </w:p>
        </w:tc>
        <w:tc>
          <w:tcPr>
            <w:tcW w:w="1395" w:type="dxa"/>
            <w:tcBorders>
              <w:top w:val="dashSmallGap" w:sz="8" w:space="0" w:color="000000"/>
              <w:bottom w:val="dashSmallGap" w:sz="8" w:space="0" w:color="000000"/>
            </w:tcBorders>
          </w:tcPr>
          <w:p>
            <w:pPr>
              <w:pStyle w:val="TableParagraph"/>
              <w:ind w:right="130"/>
              <w:rPr>
                <w:sz w:val="22"/>
              </w:rPr>
            </w:pPr>
            <w:r>
              <w:rPr>
                <w:sz w:val="22"/>
              </w:rPr>
              <w:t>25.0</w:t>
            </w:r>
          </w:p>
        </w:tc>
        <w:tc>
          <w:tcPr>
            <w:tcW w:w="1395" w:type="dxa"/>
          </w:tcPr>
          <w:p>
            <w:pPr>
              <w:pStyle w:val="TableParagraph"/>
              <w:ind w:left="800"/>
              <w:jc w:val="left"/>
              <w:rPr>
                <w:sz w:val="22"/>
              </w:rPr>
            </w:pPr>
            <w:r>
              <w:rPr>
                <w:w w:val="105"/>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top w:val="dashSmallGap" w:sz="8" w:space="0" w:color="000000"/>
              <w:bottom w:val="dashSmallGap" w:sz="8" w:space="0" w:color="000000"/>
            </w:tcBorders>
          </w:tcPr>
          <w:p>
            <w:pPr>
              <w:pStyle w:val="TableParagraph"/>
              <w:ind w:right="128"/>
              <w:rPr>
                <w:sz w:val="22"/>
              </w:rPr>
            </w:pPr>
            <w:r>
              <w:rPr>
                <w:sz w:val="22"/>
              </w:rPr>
              <w:t>33.3</w:t>
            </w:r>
          </w:p>
        </w:tc>
        <w:tc>
          <w:tcPr>
            <w:tcW w:w="1395" w:type="dxa"/>
            <w:tcBorders>
              <w:top w:val="dashSmallGap" w:sz="8" w:space="0" w:color="000000"/>
              <w:bottom w:val="dashSmallGap" w:sz="8" w:space="0" w:color="000000"/>
            </w:tcBorders>
          </w:tcPr>
          <w:p>
            <w:pPr>
              <w:pStyle w:val="TableParagraph"/>
              <w:ind w:left="802"/>
              <w:jc w:val="left"/>
              <w:rPr>
                <w:sz w:val="22"/>
              </w:rPr>
            </w:pPr>
            <w:r>
              <w:rPr>
                <w:w w:val="105"/>
                <w:sz w:val="22"/>
              </w:rPr>
              <w:t>16.7</w:t>
            </w:r>
          </w:p>
        </w:tc>
        <w:tc>
          <w:tcPr>
            <w:tcW w:w="1395" w:type="dxa"/>
            <w:tcBorders>
              <w:top w:val="dashSmallGap" w:sz="8" w:space="0" w:color="000000"/>
              <w:bottom w:val="dashSmallGap" w:sz="8" w:space="0" w:color="000000"/>
            </w:tcBorders>
          </w:tcPr>
          <w:p>
            <w:pPr>
              <w:pStyle w:val="TableParagraph"/>
              <w:ind w:right="129"/>
              <w:rPr>
                <w:sz w:val="22"/>
              </w:rPr>
            </w:pPr>
            <w:r>
              <w:rPr>
                <w:sz w:val="22"/>
              </w:rPr>
              <w:t>41.7</w:t>
            </w:r>
          </w:p>
        </w:tc>
        <w:tc>
          <w:tcPr>
            <w:tcW w:w="1395" w:type="dxa"/>
            <w:tcBorders>
              <w:top w:val="dashSmallGap" w:sz="8" w:space="0" w:color="000000"/>
              <w:bottom w:val="dashSmallGap" w:sz="8" w:space="0" w:color="000000"/>
            </w:tcBorders>
          </w:tcPr>
          <w:p>
            <w:pPr>
              <w:pStyle w:val="TableParagraph"/>
              <w:ind w:right="130"/>
              <w:rPr>
                <w:sz w:val="22"/>
              </w:rPr>
            </w:pPr>
            <w:r>
              <w:rPr>
                <w:sz w:val="22"/>
              </w:rPr>
              <w:t>25.0</w:t>
            </w:r>
          </w:p>
        </w:tc>
        <w:tc>
          <w:tcPr>
            <w:tcW w:w="1395" w:type="dxa"/>
          </w:tcPr>
          <w:p>
            <w:pPr>
              <w:pStyle w:val="TableParagraph"/>
              <w:ind w:left="800"/>
              <w:jc w:val="left"/>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150"/>
                <w:sz w:val="22"/>
              </w:rPr>
              <w:t>-</w:t>
            </w:r>
          </w:p>
        </w:tc>
        <w:tc>
          <w:tcPr>
            <w:tcW w:w="1395" w:type="dxa"/>
            <w:tcBorders>
              <w:top w:val="dashSmallGap" w:sz="8" w:space="0" w:color="000000"/>
            </w:tcBorders>
          </w:tcPr>
          <w:p>
            <w:pPr>
              <w:pStyle w:val="TableParagraph"/>
              <w:ind w:right="18"/>
              <w:rPr>
                <w:sz w:val="22"/>
              </w:rPr>
            </w:pPr>
            <w:r>
              <w:rPr>
                <w:w w:val="150"/>
                <w:sz w:val="22"/>
              </w:rPr>
              <w:t>-</w:t>
            </w:r>
          </w:p>
        </w:tc>
        <w:tc>
          <w:tcPr>
            <w:tcW w:w="1395" w:type="dxa"/>
            <w:tcBorders>
              <w:top w:val="dashSmallGap" w:sz="8" w:space="0" w:color="000000"/>
            </w:tcBorders>
          </w:tcPr>
          <w:p>
            <w:pPr>
              <w:pStyle w:val="TableParagraph"/>
              <w:ind w:right="19"/>
              <w:rPr>
                <w:sz w:val="22"/>
              </w:rPr>
            </w:pPr>
            <w:r>
              <w:rPr>
                <w:w w:val="150"/>
                <w:sz w:val="22"/>
              </w:rPr>
              <w:t>-</w:t>
            </w:r>
          </w:p>
        </w:tc>
        <w:tc>
          <w:tcPr>
            <w:tcW w:w="1395" w:type="dxa"/>
            <w:tcBorders>
              <w:top w:val="dashSmallGap" w:sz="8" w:space="0" w:color="000000"/>
            </w:tcBorders>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25.0</w:t>
            </w:r>
          </w:p>
        </w:tc>
        <w:tc>
          <w:tcPr>
            <w:tcW w:w="1395" w:type="dxa"/>
          </w:tcPr>
          <w:p>
            <w:pPr>
              <w:pStyle w:val="TableParagraph"/>
              <w:ind w:left="802"/>
              <w:jc w:val="left"/>
              <w:rPr>
                <w:sz w:val="22"/>
              </w:rPr>
            </w:pPr>
            <w:r>
              <w:rPr>
                <w:w w:val="105"/>
                <w:sz w:val="22"/>
              </w:rPr>
              <w:t>50.0</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50.0</w:t>
            </w:r>
          </w:p>
        </w:tc>
        <w:tc>
          <w:tcPr>
            <w:tcW w:w="1395" w:type="dxa"/>
          </w:tcPr>
          <w:p>
            <w:pPr>
              <w:pStyle w:val="TableParagraph"/>
              <w:ind w:left="800"/>
              <w:jc w:val="left"/>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150"/>
                <w:sz w:val="22"/>
              </w:rPr>
              <w:t>-</w:t>
            </w:r>
          </w:p>
        </w:tc>
        <w:tc>
          <w:tcPr>
            <w:tcW w:w="1395" w:type="dxa"/>
          </w:tcPr>
          <w:p>
            <w:pPr>
              <w:pStyle w:val="TableParagraph"/>
              <w:ind w:right="18"/>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11.1</w:t>
            </w:r>
          </w:p>
        </w:tc>
        <w:tc>
          <w:tcPr>
            <w:tcW w:w="1394" w:type="dxa"/>
          </w:tcPr>
          <w:p>
            <w:pPr>
              <w:pStyle w:val="TableParagraph"/>
              <w:ind w:right="125"/>
              <w:rPr>
                <w:sz w:val="22"/>
              </w:rPr>
            </w:pPr>
            <w:r>
              <w:rPr>
                <w:sz w:val="22"/>
              </w:rPr>
              <w:t>77.8</w:t>
            </w:r>
          </w:p>
        </w:tc>
        <w:tc>
          <w:tcPr>
            <w:tcW w:w="1394" w:type="dxa"/>
          </w:tcPr>
          <w:p>
            <w:pPr>
              <w:pStyle w:val="TableParagraph"/>
              <w:ind w:right="125"/>
              <w:rPr>
                <w:sz w:val="22"/>
              </w:rPr>
            </w:pPr>
            <w:r>
              <w:rPr>
                <w:w w:val="105"/>
                <w:sz w:val="22"/>
              </w:rPr>
              <w:t>0.0</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22.2</w:t>
            </w:r>
          </w:p>
        </w:tc>
        <w:tc>
          <w:tcPr>
            <w:tcW w:w="1394" w:type="dxa"/>
          </w:tcPr>
          <w:p>
            <w:pPr>
              <w:pStyle w:val="TableParagraph"/>
              <w:ind w:right="125"/>
              <w:rPr>
                <w:sz w:val="22"/>
              </w:rPr>
            </w:pPr>
            <w:r>
              <w:rPr>
                <w:sz w:val="22"/>
              </w:rPr>
              <w:t>44.4</w:t>
            </w:r>
          </w:p>
        </w:tc>
        <w:tc>
          <w:tcPr>
            <w:tcW w:w="1394" w:type="dxa"/>
          </w:tcPr>
          <w:p>
            <w:pPr>
              <w:pStyle w:val="TableParagraph"/>
              <w:ind w:right="125"/>
              <w:rPr>
                <w:sz w:val="22"/>
              </w:rPr>
            </w:pPr>
            <w:r>
              <w:rPr>
                <w:sz w:val="22"/>
              </w:rPr>
              <w:t>22.2</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14.3</w:t>
            </w:r>
          </w:p>
        </w:tc>
        <w:tc>
          <w:tcPr>
            <w:tcW w:w="1394" w:type="dxa"/>
          </w:tcPr>
          <w:p>
            <w:pPr>
              <w:pStyle w:val="TableParagraph"/>
              <w:ind w:right="125"/>
              <w:rPr>
                <w:sz w:val="22"/>
              </w:rPr>
            </w:pPr>
            <w:r>
              <w:rPr>
                <w:sz w:val="22"/>
              </w:rPr>
              <w:t>42.9</w:t>
            </w:r>
          </w:p>
        </w:tc>
        <w:tc>
          <w:tcPr>
            <w:tcW w:w="1394" w:type="dxa"/>
          </w:tcPr>
          <w:p>
            <w:pPr>
              <w:pStyle w:val="TableParagraph"/>
              <w:ind w:right="125"/>
              <w:rPr>
                <w:sz w:val="22"/>
              </w:rPr>
            </w:pPr>
            <w:r>
              <w:rPr>
                <w:sz w:val="22"/>
              </w:rPr>
              <w:t>42.9</w:t>
            </w:r>
          </w:p>
        </w:tc>
        <w:tc>
          <w:tcPr>
            <w:tcW w:w="1394" w:type="dxa"/>
          </w:tcPr>
          <w:p>
            <w:pPr>
              <w:pStyle w:val="TableParagraph"/>
              <w:ind w:right="125"/>
              <w:rPr>
                <w:sz w:val="22"/>
              </w:rPr>
            </w:pPr>
            <w:r>
              <w:rPr>
                <w:w w:val="105"/>
                <w:sz w:val="22"/>
              </w:rPr>
              <w:t>0.0</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22.2</w:t>
            </w:r>
          </w:p>
        </w:tc>
        <w:tc>
          <w:tcPr>
            <w:tcW w:w="1394" w:type="dxa"/>
          </w:tcPr>
          <w:p>
            <w:pPr>
              <w:pStyle w:val="TableParagraph"/>
              <w:ind w:right="125"/>
              <w:rPr>
                <w:sz w:val="22"/>
              </w:rPr>
            </w:pPr>
            <w:r>
              <w:rPr>
                <w:sz w:val="22"/>
              </w:rPr>
              <w:t>44.4</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60.0</w:t>
            </w:r>
          </w:p>
        </w:tc>
        <w:tc>
          <w:tcPr>
            <w:tcW w:w="1394" w:type="dxa"/>
          </w:tcPr>
          <w:p>
            <w:pPr>
              <w:pStyle w:val="TableParagraph"/>
              <w:ind w:right="125"/>
              <w:rPr>
                <w:sz w:val="22"/>
              </w:rPr>
            </w:pPr>
            <w:r>
              <w:rPr>
                <w:sz w:val="22"/>
              </w:rPr>
              <w:t>10.0</w:t>
            </w:r>
          </w:p>
        </w:tc>
        <w:tc>
          <w:tcPr>
            <w:tcW w:w="1394" w:type="dxa"/>
          </w:tcPr>
          <w:p>
            <w:pPr>
              <w:pStyle w:val="TableParagraph"/>
              <w:ind w:right="125"/>
              <w:rPr>
                <w:sz w:val="22"/>
              </w:rPr>
            </w:pPr>
            <w:r>
              <w:rPr>
                <w:sz w:val="22"/>
              </w:rPr>
              <w:t>30.0</w:t>
            </w:r>
          </w:p>
        </w:tc>
      </w:tr>
    </w:tbl>
    <w:p>
      <w:pPr>
        <w:spacing w:after="0"/>
        <w:rPr>
          <w:sz w:val="22"/>
        </w:rPr>
        <w:sectPr>
          <w:pgSz w:w="11900" w:h="16840"/>
          <w:pgMar w:header="0" w:footer="765" w:top="1600" w:bottom="1040" w:left="1000" w:right="1060"/>
        </w:sectPr>
      </w:pPr>
    </w:p>
    <w:p>
      <w:pPr>
        <w:pStyle w:val="Heading4"/>
        <w:spacing w:line="240" w:lineRule="auto" w:before="174"/>
      </w:pPr>
      <w:r>
        <w:rPr>
          <w:w w:val="105"/>
        </w:rPr>
        <w:t>（２）３か月後の景気の先行き判断</w:t>
      </w:r>
    </w:p>
    <w:p>
      <w:pPr>
        <w:pStyle w:val="BodyText"/>
        <w:spacing w:before="2"/>
        <w:rPr>
          <w:sz w:val="27"/>
        </w:rPr>
      </w:pPr>
    </w:p>
    <w:p>
      <w:pPr>
        <w:spacing w:line="307" w:lineRule="exact" w:before="0"/>
        <w:ind w:left="187" w:right="0" w:firstLine="0"/>
        <w:jc w:val="left"/>
        <w:rPr>
          <w:sz w:val="23"/>
        </w:rPr>
      </w:pPr>
      <w:r>
        <w:rPr>
          <w:w w:val="105"/>
          <w:sz w:val="23"/>
        </w:rPr>
        <w:t>＜東青地区＞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29</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48.3</w:t>
            </w:r>
          </w:p>
        </w:tc>
        <w:tc>
          <w:tcPr>
            <w:tcW w:w="1395" w:type="dxa"/>
          </w:tcPr>
          <w:p>
            <w:pPr>
              <w:pStyle w:val="TableParagraph"/>
              <w:ind w:right="131"/>
              <w:rPr>
                <w:rFonts w:ascii="A-OTF Futo Go B101 Pr6N"/>
                <w:b/>
                <w:sz w:val="22"/>
              </w:rPr>
            </w:pPr>
            <w:r>
              <w:rPr>
                <w:rFonts w:ascii="A-OTF Futo Go B101 Pr6N"/>
                <w:b/>
                <w:w w:val="105"/>
                <w:sz w:val="22"/>
              </w:rPr>
              <w:t>37.9</w:t>
            </w:r>
          </w:p>
        </w:tc>
        <w:tc>
          <w:tcPr>
            <w:tcW w:w="1395" w:type="dxa"/>
          </w:tcPr>
          <w:p>
            <w:pPr>
              <w:pStyle w:val="TableParagraph"/>
              <w:ind w:right="132"/>
              <w:rPr>
                <w:rFonts w:ascii="A-OTF Futo Go B101 Pr6N"/>
                <w:b/>
                <w:sz w:val="22"/>
              </w:rPr>
            </w:pPr>
            <w:r>
              <w:rPr>
                <w:rFonts w:ascii="A-OTF Futo Go B101 Pr6N"/>
                <w:b/>
                <w:w w:val="105"/>
                <w:sz w:val="22"/>
              </w:rPr>
              <w:t>34.8</w:t>
            </w:r>
          </w:p>
        </w:tc>
        <w:tc>
          <w:tcPr>
            <w:tcW w:w="1395" w:type="dxa"/>
          </w:tcPr>
          <w:p>
            <w:pPr>
              <w:pStyle w:val="TableParagraph"/>
              <w:ind w:right="133"/>
              <w:rPr>
                <w:rFonts w:ascii="A-OTF Futo Go B101 Pr6N"/>
                <w:b/>
                <w:sz w:val="22"/>
              </w:rPr>
            </w:pPr>
            <w:r>
              <w:rPr>
                <w:rFonts w:ascii="A-OTF Futo Go B101 Pr6N"/>
                <w:b/>
                <w:w w:val="105"/>
                <w:sz w:val="22"/>
              </w:rPr>
              <w:t>34.5</w:t>
            </w:r>
          </w:p>
        </w:tc>
        <w:tc>
          <w:tcPr>
            <w:tcW w:w="1395" w:type="dxa"/>
          </w:tcPr>
          <w:p>
            <w:pPr>
              <w:pStyle w:val="TableParagraph"/>
              <w:ind w:right="133"/>
              <w:rPr>
                <w:rFonts w:ascii="A-OTF Futo Go B101 Pr6N"/>
                <w:b/>
                <w:sz w:val="22"/>
              </w:rPr>
            </w:pPr>
            <w:r>
              <w:rPr>
                <w:rFonts w:ascii="A-OTF Futo Go B101 Pr6N"/>
                <w:b/>
                <w:w w:val="105"/>
                <w:sz w:val="22"/>
              </w:rPr>
              <w:t>44.8</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47.7</w:t>
            </w:r>
          </w:p>
        </w:tc>
        <w:tc>
          <w:tcPr>
            <w:tcW w:w="1395" w:type="dxa"/>
          </w:tcPr>
          <w:p>
            <w:pPr>
              <w:pStyle w:val="TableParagraph"/>
              <w:ind w:right="129"/>
              <w:rPr>
                <w:sz w:val="22"/>
              </w:rPr>
            </w:pPr>
            <w:r>
              <w:rPr>
                <w:sz w:val="22"/>
              </w:rPr>
              <w:t>37.5</w:t>
            </w:r>
          </w:p>
        </w:tc>
        <w:tc>
          <w:tcPr>
            <w:tcW w:w="1395" w:type="dxa"/>
          </w:tcPr>
          <w:p>
            <w:pPr>
              <w:pStyle w:val="TableParagraph"/>
              <w:ind w:right="129"/>
              <w:rPr>
                <w:sz w:val="22"/>
              </w:rPr>
            </w:pPr>
            <w:r>
              <w:rPr>
                <w:sz w:val="22"/>
              </w:rPr>
              <w:t>36.9</w:t>
            </w:r>
          </w:p>
        </w:tc>
        <w:tc>
          <w:tcPr>
            <w:tcW w:w="1395" w:type="dxa"/>
          </w:tcPr>
          <w:p>
            <w:pPr>
              <w:pStyle w:val="TableParagraph"/>
              <w:ind w:right="130"/>
              <w:rPr>
                <w:sz w:val="22"/>
              </w:rPr>
            </w:pPr>
            <w:r>
              <w:rPr>
                <w:sz w:val="22"/>
              </w:rPr>
              <w:t>37.0</w:t>
            </w:r>
          </w:p>
        </w:tc>
        <w:tc>
          <w:tcPr>
            <w:tcW w:w="1395" w:type="dxa"/>
          </w:tcPr>
          <w:p>
            <w:pPr>
              <w:pStyle w:val="TableParagraph"/>
              <w:ind w:right="131"/>
              <w:rPr>
                <w:sz w:val="22"/>
              </w:rPr>
            </w:pPr>
            <w:r>
              <w:rPr>
                <w:sz w:val="22"/>
              </w:rPr>
              <w:t>40.9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36.1</w:t>
            </w:r>
          </w:p>
        </w:tc>
        <w:tc>
          <w:tcPr>
            <w:tcW w:w="1395" w:type="dxa"/>
          </w:tcPr>
          <w:p>
            <w:pPr>
              <w:pStyle w:val="TableParagraph"/>
              <w:ind w:right="129"/>
              <w:rPr>
                <w:sz w:val="22"/>
              </w:rPr>
            </w:pPr>
            <w:r>
              <w:rPr>
                <w:sz w:val="22"/>
              </w:rPr>
              <w:t>46.9</w:t>
            </w:r>
          </w:p>
        </w:tc>
        <w:tc>
          <w:tcPr>
            <w:tcW w:w="1395" w:type="dxa"/>
          </w:tcPr>
          <w:p>
            <w:pPr>
              <w:pStyle w:val="TableParagraph"/>
              <w:ind w:right="130"/>
              <w:rPr>
                <w:sz w:val="22"/>
              </w:rPr>
            </w:pPr>
            <w:r>
              <w:rPr>
                <w:sz w:val="22"/>
              </w:rPr>
              <w:t>33.3</w:t>
            </w:r>
          </w:p>
        </w:tc>
        <w:tc>
          <w:tcPr>
            <w:tcW w:w="1395" w:type="dxa"/>
          </w:tcPr>
          <w:p>
            <w:pPr>
              <w:pStyle w:val="TableParagraph"/>
              <w:ind w:right="131"/>
              <w:rPr>
                <w:sz w:val="22"/>
              </w:rPr>
            </w:pPr>
            <w:r>
              <w:rPr>
                <w:sz w:val="22"/>
              </w:rPr>
              <w:t>38.9</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sz w:val="22"/>
              </w:rPr>
              <w:t>41.7</w:t>
            </w:r>
          </w:p>
        </w:tc>
        <w:tc>
          <w:tcPr>
            <w:tcW w:w="1395" w:type="dxa"/>
          </w:tcPr>
          <w:p>
            <w:pPr>
              <w:pStyle w:val="TableParagraph"/>
              <w:ind w:right="129"/>
              <w:rPr>
                <w:sz w:val="22"/>
              </w:rPr>
            </w:pPr>
            <w:r>
              <w:rPr>
                <w:sz w:val="22"/>
              </w:rPr>
              <w:t>33.3</w:t>
            </w:r>
          </w:p>
        </w:tc>
        <w:tc>
          <w:tcPr>
            <w:tcW w:w="1395" w:type="dxa"/>
          </w:tcPr>
          <w:p>
            <w:pPr>
              <w:pStyle w:val="TableParagraph"/>
              <w:ind w:right="129"/>
              <w:rPr>
                <w:sz w:val="22"/>
              </w:rPr>
            </w:pPr>
            <w:r>
              <w:rPr>
                <w:sz w:val="22"/>
              </w:rPr>
              <w:t>16.7</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sz w:val="22"/>
              </w:rPr>
              <w:t>46.9</w:t>
            </w:r>
          </w:p>
        </w:tc>
        <w:tc>
          <w:tcPr>
            <w:tcW w:w="1395" w:type="dxa"/>
          </w:tcPr>
          <w:p>
            <w:pPr>
              <w:pStyle w:val="TableParagraph"/>
              <w:ind w:right="129"/>
              <w:rPr>
                <w:sz w:val="22"/>
              </w:rPr>
            </w:pPr>
            <w:r>
              <w:rPr>
                <w:sz w:val="22"/>
              </w:rPr>
              <w:t>37.5</w:t>
            </w:r>
          </w:p>
        </w:tc>
        <w:tc>
          <w:tcPr>
            <w:tcW w:w="1395" w:type="dxa"/>
          </w:tcPr>
          <w:p>
            <w:pPr>
              <w:pStyle w:val="TableParagraph"/>
              <w:ind w:right="129"/>
              <w:rPr>
                <w:sz w:val="22"/>
              </w:rPr>
            </w:pPr>
            <w:r>
              <w:rPr>
                <w:sz w:val="22"/>
              </w:rPr>
              <w:t>33.3</w:t>
            </w:r>
          </w:p>
        </w:tc>
        <w:tc>
          <w:tcPr>
            <w:tcW w:w="1395" w:type="dxa"/>
          </w:tcPr>
          <w:p>
            <w:pPr>
              <w:pStyle w:val="TableParagraph"/>
              <w:ind w:right="130"/>
              <w:rPr>
                <w:sz w:val="22"/>
              </w:rPr>
            </w:pPr>
            <w:r>
              <w:rPr>
                <w:sz w:val="22"/>
              </w:rPr>
              <w:t>33.3</w:t>
            </w:r>
          </w:p>
        </w:tc>
        <w:tc>
          <w:tcPr>
            <w:tcW w:w="1395" w:type="dxa"/>
          </w:tcPr>
          <w:p>
            <w:pPr>
              <w:pStyle w:val="TableParagraph"/>
              <w:ind w:right="131"/>
              <w:rPr>
                <w:sz w:val="22"/>
              </w:rPr>
            </w:pPr>
            <w:r>
              <w:rPr>
                <w:sz w:val="22"/>
              </w:rPr>
              <w:t>40.6</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31.3</w:t>
            </w:r>
          </w:p>
        </w:tc>
        <w:tc>
          <w:tcPr>
            <w:tcW w:w="1395" w:type="dxa"/>
          </w:tcPr>
          <w:p>
            <w:pPr>
              <w:pStyle w:val="TableParagraph"/>
              <w:ind w:right="129"/>
              <w:rPr>
                <w:sz w:val="22"/>
              </w:rPr>
            </w:pPr>
            <w:r>
              <w:rPr>
                <w:sz w:val="22"/>
              </w:rPr>
              <w:t>18.8</w:t>
            </w:r>
          </w:p>
        </w:tc>
        <w:tc>
          <w:tcPr>
            <w:tcW w:w="1395" w:type="dxa"/>
          </w:tcPr>
          <w:p>
            <w:pPr>
              <w:pStyle w:val="TableParagraph"/>
              <w:ind w:right="130"/>
              <w:rPr>
                <w:sz w:val="22"/>
              </w:rPr>
            </w:pPr>
            <w:r>
              <w:rPr>
                <w:w w:val="105"/>
                <w:sz w:val="22"/>
              </w:rPr>
              <w:t>8.3</w:t>
            </w:r>
          </w:p>
        </w:tc>
        <w:tc>
          <w:tcPr>
            <w:tcW w:w="1395" w:type="dxa"/>
          </w:tcPr>
          <w:p>
            <w:pPr>
              <w:pStyle w:val="TableParagraph"/>
              <w:ind w:right="131"/>
              <w:rPr>
                <w:sz w:val="22"/>
              </w:rPr>
            </w:pPr>
            <w:r>
              <w:rPr>
                <w:sz w:val="22"/>
              </w:rPr>
              <w:t>62.5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41.7</w:t>
            </w:r>
          </w:p>
        </w:tc>
        <w:tc>
          <w:tcPr>
            <w:tcW w:w="1395" w:type="dxa"/>
          </w:tcPr>
          <w:p>
            <w:pPr>
              <w:pStyle w:val="TableParagraph"/>
              <w:ind w:right="130"/>
              <w:rPr>
                <w:sz w:val="22"/>
              </w:rPr>
            </w:pPr>
            <w:r>
              <w:rPr>
                <w:sz w:val="22"/>
              </w:rPr>
              <w:t>41.7</w:t>
            </w:r>
          </w:p>
        </w:tc>
        <w:tc>
          <w:tcPr>
            <w:tcW w:w="1395" w:type="dxa"/>
          </w:tcPr>
          <w:p>
            <w:pPr>
              <w:pStyle w:val="TableParagraph"/>
              <w:ind w:right="131"/>
              <w:rPr>
                <w:sz w:val="22"/>
              </w:rPr>
            </w:pPr>
            <w:r>
              <w:rPr>
                <w:sz w:val="22"/>
              </w:rPr>
              <w:t>50.0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13.8</w:t>
            </w:r>
          </w:p>
        </w:tc>
        <w:tc>
          <w:tcPr>
            <w:tcW w:w="1394" w:type="dxa"/>
          </w:tcPr>
          <w:p>
            <w:pPr>
              <w:pStyle w:val="TableParagraph"/>
              <w:ind w:right="125"/>
              <w:rPr>
                <w:sz w:val="22"/>
              </w:rPr>
            </w:pPr>
            <w:r>
              <w:rPr>
                <w:sz w:val="22"/>
              </w:rPr>
              <w:t>69.0</w:t>
            </w:r>
          </w:p>
        </w:tc>
        <w:tc>
          <w:tcPr>
            <w:tcW w:w="1394" w:type="dxa"/>
          </w:tcPr>
          <w:p>
            <w:pPr>
              <w:pStyle w:val="TableParagraph"/>
              <w:ind w:right="125"/>
              <w:rPr>
                <w:sz w:val="22"/>
              </w:rPr>
            </w:pPr>
            <w:r>
              <w:rPr>
                <w:sz w:val="22"/>
              </w:rPr>
              <w:t>13.8</w:t>
            </w:r>
          </w:p>
        </w:tc>
        <w:tc>
          <w:tcPr>
            <w:tcW w:w="1394" w:type="dxa"/>
          </w:tcPr>
          <w:p>
            <w:pPr>
              <w:pStyle w:val="TableParagraph"/>
              <w:ind w:right="125"/>
              <w:rPr>
                <w:sz w:val="22"/>
              </w:rPr>
            </w:pPr>
            <w:r>
              <w:rPr>
                <w:w w:val="105"/>
                <w:sz w:val="22"/>
              </w:rPr>
              <w:t>3.4</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69.0</w:t>
            </w:r>
          </w:p>
        </w:tc>
        <w:tc>
          <w:tcPr>
            <w:tcW w:w="1394" w:type="dxa"/>
          </w:tcPr>
          <w:p>
            <w:pPr>
              <w:pStyle w:val="TableParagraph"/>
              <w:ind w:right="125"/>
              <w:rPr>
                <w:sz w:val="22"/>
              </w:rPr>
            </w:pPr>
            <w:r>
              <w:rPr>
                <w:sz w:val="22"/>
              </w:rPr>
              <w:t>13.8</w:t>
            </w:r>
          </w:p>
        </w:tc>
        <w:tc>
          <w:tcPr>
            <w:tcW w:w="1394" w:type="dxa"/>
          </w:tcPr>
          <w:p>
            <w:pPr>
              <w:pStyle w:val="TableParagraph"/>
              <w:ind w:right="125"/>
              <w:rPr>
                <w:sz w:val="22"/>
              </w:rPr>
            </w:pPr>
            <w:r>
              <w:rPr>
                <w:sz w:val="22"/>
              </w:rPr>
              <w:t>17.2</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57.1</w:t>
            </w:r>
          </w:p>
        </w:tc>
        <w:tc>
          <w:tcPr>
            <w:tcW w:w="1394" w:type="dxa"/>
          </w:tcPr>
          <w:p>
            <w:pPr>
              <w:pStyle w:val="TableParagraph"/>
              <w:ind w:right="125"/>
              <w:rPr>
                <w:sz w:val="22"/>
              </w:rPr>
            </w:pPr>
            <w:r>
              <w:rPr>
                <w:sz w:val="22"/>
              </w:rPr>
              <w:t>25.0</w:t>
            </w:r>
          </w:p>
        </w:tc>
        <w:tc>
          <w:tcPr>
            <w:tcW w:w="1394" w:type="dxa"/>
          </w:tcPr>
          <w:p>
            <w:pPr>
              <w:pStyle w:val="TableParagraph"/>
              <w:ind w:right="125"/>
              <w:rPr>
                <w:sz w:val="22"/>
              </w:rPr>
            </w:pPr>
            <w:r>
              <w:rPr>
                <w:sz w:val="22"/>
              </w:rPr>
              <w:t>17.9</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13.8</w:t>
            </w:r>
          </w:p>
        </w:tc>
        <w:tc>
          <w:tcPr>
            <w:tcW w:w="1394" w:type="dxa"/>
          </w:tcPr>
          <w:p>
            <w:pPr>
              <w:pStyle w:val="TableParagraph"/>
              <w:ind w:right="125"/>
              <w:rPr>
                <w:sz w:val="22"/>
              </w:rPr>
            </w:pPr>
            <w:r>
              <w:rPr>
                <w:sz w:val="22"/>
              </w:rPr>
              <w:t>34.5</w:t>
            </w:r>
          </w:p>
        </w:tc>
        <w:tc>
          <w:tcPr>
            <w:tcW w:w="1394" w:type="dxa"/>
          </w:tcPr>
          <w:p>
            <w:pPr>
              <w:pStyle w:val="TableParagraph"/>
              <w:ind w:right="125"/>
              <w:rPr>
                <w:sz w:val="22"/>
              </w:rPr>
            </w:pPr>
            <w:r>
              <w:rPr>
                <w:sz w:val="22"/>
              </w:rPr>
              <w:t>27.6</w:t>
            </w:r>
          </w:p>
        </w:tc>
        <w:tc>
          <w:tcPr>
            <w:tcW w:w="1394" w:type="dxa"/>
          </w:tcPr>
          <w:p>
            <w:pPr>
              <w:pStyle w:val="TableParagraph"/>
              <w:ind w:right="125"/>
              <w:rPr>
                <w:sz w:val="22"/>
              </w:rPr>
            </w:pPr>
            <w:r>
              <w:rPr>
                <w:sz w:val="22"/>
              </w:rPr>
              <w:t>24.1</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17.2</w:t>
            </w:r>
          </w:p>
        </w:tc>
        <w:tc>
          <w:tcPr>
            <w:tcW w:w="1394" w:type="dxa"/>
          </w:tcPr>
          <w:p>
            <w:pPr>
              <w:pStyle w:val="TableParagraph"/>
              <w:ind w:right="125"/>
              <w:rPr>
                <w:sz w:val="22"/>
              </w:rPr>
            </w:pPr>
            <w:r>
              <w:rPr>
                <w:sz w:val="22"/>
              </w:rPr>
              <w:t>55.2</w:t>
            </w:r>
          </w:p>
        </w:tc>
        <w:tc>
          <w:tcPr>
            <w:tcW w:w="1394" w:type="dxa"/>
          </w:tcPr>
          <w:p>
            <w:pPr>
              <w:pStyle w:val="TableParagraph"/>
              <w:ind w:right="125"/>
              <w:rPr>
                <w:sz w:val="22"/>
              </w:rPr>
            </w:pPr>
            <w:r>
              <w:rPr>
                <w:sz w:val="22"/>
              </w:rPr>
              <w:t>17.2</w:t>
            </w:r>
          </w:p>
        </w:tc>
        <w:tc>
          <w:tcPr>
            <w:tcW w:w="1394" w:type="dxa"/>
          </w:tcPr>
          <w:p>
            <w:pPr>
              <w:pStyle w:val="TableParagraph"/>
              <w:ind w:right="125"/>
              <w:rPr>
                <w:sz w:val="22"/>
              </w:rPr>
            </w:pPr>
            <w:r>
              <w:rPr>
                <w:sz w:val="22"/>
              </w:rPr>
              <w:t>10.3</w:t>
            </w:r>
          </w:p>
        </w:tc>
      </w:tr>
    </w:tbl>
    <w:p>
      <w:pPr>
        <w:pStyle w:val="BodyText"/>
        <w:spacing w:before="13"/>
        <w:rPr>
          <w:sz w:val="38"/>
        </w:rPr>
      </w:pPr>
    </w:p>
    <w:p>
      <w:pPr>
        <w:pStyle w:val="Heading4"/>
      </w:pPr>
      <w:r>
        <w:rPr>
          <w:w w:val="105"/>
        </w:rPr>
        <w:t>＜津軽地区＞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30</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45.0</w:t>
            </w:r>
          </w:p>
        </w:tc>
        <w:tc>
          <w:tcPr>
            <w:tcW w:w="1395" w:type="dxa"/>
          </w:tcPr>
          <w:p>
            <w:pPr>
              <w:pStyle w:val="TableParagraph"/>
              <w:ind w:right="131"/>
              <w:rPr>
                <w:rFonts w:ascii="A-OTF Futo Go B101 Pr6N"/>
                <w:b/>
                <w:sz w:val="22"/>
              </w:rPr>
            </w:pPr>
            <w:r>
              <w:rPr>
                <w:rFonts w:ascii="A-OTF Futo Go B101 Pr6N"/>
                <w:b/>
                <w:w w:val="105"/>
                <w:sz w:val="22"/>
              </w:rPr>
              <w:t>37.9</w:t>
            </w:r>
          </w:p>
        </w:tc>
        <w:tc>
          <w:tcPr>
            <w:tcW w:w="1395" w:type="dxa"/>
          </w:tcPr>
          <w:p>
            <w:pPr>
              <w:pStyle w:val="TableParagraph"/>
              <w:ind w:right="132"/>
              <w:rPr>
                <w:rFonts w:ascii="A-OTF Futo Go B101 Pr6N"/>
                <w:b/>
                <w:sz w:val="22"/>
              </w:rPr>
            </w:pPr>
            <w:r>
              <w:rPr>
                <w:rFonts w:ascii="A-OTF Futo Go B101 Pr6N"/>
                <w:b/>
                <w:w w:val="105"/>
                <w:sz w:val="22"/>
              </w:rPr>
              <w:t>30.6</w:t>
            </w:r>
          </w:p>
        </w:tc>
        <w:tc>
          <w:tcPr>
            <w:tcW w:w="1395" w:type="dxa"/>
          </w:tcPr>
          <w:p>
            <w:pPr>
              <w:pStyle w:val="TableParagraph"/>
              <w:ind w:right="133"/>
              <w:rPr>
                <w:rFonts w:ascii="A-OTF Futo Go B101 Pr6N"/>
                <w:b/>
                <w:sz w:val="22"/>
              </w:rPr>
            </w:pPr>
            <w:r>
              <w:rPr>
                <w:rFonts w:ascii="A-OTF Futo Go B101 Pr6N"/>
                <w:b/>
                <w:w w:val="105"/>
                <w:sz w:val="22"/>
              </w:rPr>
              <w:t>40.7</w:t>
            </w:r>
          </w:p>
        </w:tc>
        <w:tc>
          <w:tcPr>
            <w:tcW w:w="1395" w:type="dxa"/>
          </w:tcPr>
          <w:p>
            <w:pPr>
              <w:pStyle w:val="TableParagraph"/>
              <w:ind w:right="133"/>
              <w:rPr>
                <w:rFonts w:ascii="A-OTF Futo Go B101 Pr6N"/>
                <w:b/>
                <w:sz w:val="22"/>
              </w:rPr>
            </w:pPr>
            <w:r>
              <w:rPr>
                <w:rFonts w:ascii="A-OTF Futo Go B101 Pr6N"/>
                <w:b/>
                <w:w w:val="105"/>
                <w:sz w:val="22"/>
              </w:rPr>
              <w:t>43.3</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44.3</w:t>
            </w:r>
          </w:p>
        </w:tc>
        <w:tc>
          <w:tcPr>
            <w:tcW w:w="1395" w:type="dxa"/>
          </w:tcPr>
          <w:p>
            <w:pPr>
              <w:pStyle w:val="TableParagraph"/>
              <w:ind w:right="129"/>
              <w:rPr>
                <w:sz w:val="22"/>
              </w:rPr>
            </w:pPr>
            <w:r>
              <w:rPr>
                <w:sz w:val="22"/>
              </w:rPr>
              <w:t>38.1</w:t>
            </w:r>
          </w:p>
        </w:tc>
        <w:tc>
          <w:tcPr>
            <w:tcW w:w="1395" w:type="dxa"/>
          </w:tcPr>
          <w:p>
            <w:pPr>
              <w:pStyle w:val="TableParagraph"/>
              <w:ind w:right="129"/>
              <w:rPr>
                <w:sz w:val="22"/>
              </w:rPr>
            </w:pPr>
            <w:r>
              <w:rPr>
                <w:sz w:val="22"/>
              </w:rPr>
              <w:t>30.3</w:t>
            </w:r>
          </w:p>
        </w:tc>
        <w:tc>
          <w:tcPr>
            <w:tcW w:w="1395" w:type="dxa"/>
          </w:tcPr>
          <w:p>
            <w:pPr>
              <w:pStyle w:val="TableParagraph"/>
              <w:ind w:right="130"/>
              <w:rPr>
                <w:sz w:val="22"/>
              </w:rPr>
            </w:pPr>
            <w:r>
              <w:rPr>
                <w:sz w:val="22"/>
              </w:rPr>
              <w:t>40.0</w:t>
            </w:r>
          </w:p>
        </w:tc>
        <w:tc>
          <w:tcPr>
            <w:tcW w:w="1395" w:type="dxa"/>
          </w:tcPr>
          <w:p>
            <w:pPr>
              <w:pStyle w:val="TableParagraph"/>
              <w:ind w:right="131"/>
              <w:rPr>
                <w:sz w:val="22"/>
              </w:rPr>
            </w:pPr>
            <w:r>
              <w:rPr>
                <w:sz w:val="22"/>
              </w:rPr>
              <w:t>40.9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sz w:val="22"/>
              </w:rPr>
              <w:t>41.7</w:t>
            </w:r>
          </w:p>
        </w:tc>
        <w:tc>
          <w:tcPr>
            <w:tcW w:w="1395" w:type="dxa"/>
          </w:tcPr>
          <w:p>
            <w:pPr>
              <w:pStyle w:val="TableParagraph"/>
              <w:ind w:right="129"/>
              <w:rPr>
                <w:sz w:val="22"/>
              </w:rPr>
            </w:pPr>
            <w:r>
              <w:rPr>
                <w:sz w:val="22"/>
              </w:rPr>
              <w:t>38.9</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44.4</w:t>
            </w:r>
          </w:p>
        </w:tc>
        <w:tc>
          <w:tcPr>
            <w:tcW w:w="1395" w:type="dxa"/>
          </w:tcPr>
          <w:p>
            <w:pPr>
              <w:pStyle w:val="TableParagraph"/>
              <w:ind w:right="131"/>
              <w:rPr>
                <w:sz w:val="22"/>
              </w:rPr>
            </w:pPr>
            <w:r>
              <w:rPr>
                <w:sz w:val="22"/>
              </w:rPr>
              <w:t>36.1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sz w:val="22"/>
              </w:rPr>
              <w:t>41.7</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12.5</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33.3</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32.1</w:t>
            </w:r>
          </w:p>
        </w:tc>
        <w:tc>
          <w:tcPr>
            <w:tcW w:w="1395" w:type="dxa"/>
          </w:tcPr>
          <w:p>
            <w:pPr>
              <w:pStyle w:val="TableParagraph"/>
              <w:ind w:right="129"/>
              <w:rPr>
                <w:sz w:val="22"/>
              </w:rPr>
            </w:pPr>
            <w:r>
              <w:rPr>
                <w:sz w:val="22"/>
              </w:rPr>
              <w:t>41.7</w:t>
            </w:r>
          </w:p>
        </w:tc>
        <w:tc>
          <w:tcPr>
            <w:tcW w:w="1395" w:type="dxa"/>
          </w:tcPr>
          <w:p>
            <w:pPr>
              <w:pStyle w:val="TableParagraph"/>
              <w:ind w:right="130"/>
              <w:rPr>
                <w:sz w:val="22"/>
              </w:rPr>
            </w:pPr>
            <w:r>
              <w:rPr>
                <w:sz w:val="22"/>
              </w:rPr>
              <w:t>32.1</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sz w:val="22"/>
              </w:rPr>
              <w:t>37.5</w:t>
            </w:r>
          </w:p>
        </w:tc>
        <w:tc>
          <w:tcPr>
            <w:tcW w:w="1395" w:type="dxa"/>
          </w:tcPr>
          <w:p>
            <w:pPr>
              <w:pStyle w:val="TableParagraph"/>
              <w:ind w:right="129"/>
              <w:rPr>
                <w:sz w:val="22"/>
              </w:rPr>
            </w:pPr>
            <w:r>
              <w:rPr>
                <w:sz w:val="22"/>
              </w:rPr>
              <w:t>37.5</w:t>
            </w:r>
          </w:p>
        </w:tc>
        <w:tc>
          <w:tcPr>
            <w:tcW w:w="1395" w:type="dxa"/>
          </w:tcPr>
          <w:p>
            <w:pPr>
              <w:pStyle w:val="TableParagraph"/>
              <w:ind w:right="129"/>
              <w:rPr>
                <w:sz w:val="22"/>
              </w:rPr>
            </w:pPr>
            <w:r>
              <w:rPr>
                <w:sz w:val="22"/>
              </w:rPr>
              <w:t>37.5</w:t>
            </w:r>
          </w:p>
        </w:tc>
        <w:tc>
          <w:tcPr>
            <w:tcW w:w="1395" w:type="dxa"/>
          </w:tcPr>
          <w:p>
            <w:pPr>
              <w:pStyle w:val="TableParagraph"/>
              <w:ind w:right="130"/>
              <w:rPr>
                <w:sz w:val="22"/>
              </w:rPr>
            </w:pPr>
            <w:r>
              <w:rPr>
                <w:sz w:val="22"/>
              </w:rPr>
              <w:t>25.0</w:t>
            </w:r>
          </w:p>
        </w:tc>
        <w:tc>
          <w:tcPr>
            <w:tcW w:w="1395" w:type="dxa"/>
          </w:tcPr>
          <w:p>
            <w:pPr>
              <w:pStyle w:val="TableParagraph"/>
              <w:ind w:right="131"/>
              <w:rPr>
                <w:sz w:val="22"/>
              </w:rPr>
            </w:pPr>
            <w:r>
              <w:rPr>
                <w:sz w:val="22"/>
              </w:rPr>
              <w:t>37.5</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45.8</w:t>
            </w:r>
          </w:p>
        </w:tc>
        <w:tc>
          <w:tcPr>
            <w:tcW w:w="1395" w:type="dxa"/>
          </w:tcPr>
          <w:p>
            <w:pPr>
              <w:pStyle w:val="TableParagraph"/>
              <w:ind w:right="129"/>
              <w:rPr>
                <w:sz w:val="22"/>
              </w:rPr>
            </w:pPr>
            <w:r>
              <w:rPr>
                <w:sz w:val="22"/>
              </w:rPr>
              <w:t>33.3</w:t>
            </w:r>
          </w:p>
        </w:tc>
        <w:tc>
          <w:tcPr>
            <w:tcW w:w="1395" w:type="dxa"/>
          </w:tcPr>
          <w:p>
            <w:pPr>
              <w:pStyle w:val="TableParagraph"/>
              <w:ind w:right="129"/>
              <w:rPr>
                <w:sz w:val="22"/>
              </w:rPr>
            </w:pPr>
            <w:r>
              <w:rPr>
                <w:sz w:val="22"/>
              </w:rPr>
              <w:t>33.3</w:t>
            </w:r>
          </w:p>
        </w:tc>
        <w:tc>
          <w:tcPr>
            <w:tcW w:w="1395" w:type="dxa"/>
          </w:tcPr>
          <w:p>
            <w:pPr>
              <w:pStyle w:val="TableParagraph"/>
              <w:ind w:right="130"/>
              <w:rPr>
                <w:sz w:val="22"/>
              </w:rPr>
            </w:pPr>
            <w:r>
              <w:rPr>
                <w:sz w:val="22"/>
              </w:rPr>
              <w:t>40.0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6.7</w:t>
            </w:r>
          </w:p>
        </w:tc>
        <w:tc>
          <w:tcPr>
            <w:tcW w:w="1394" w:type="dxa"/>
          </w:tcPr>
          <w:p>
            <w:pPr>
              <w:pStyle w:val="TableParagraph"/>
              <w:ind w:right="125"/>
              <w:rPr>
                <w:sz w:val="22"/>
              </w:rPr>
            </w:pPr>
            <w:r>
              <w:rPr>
                <w:sz w:val="22"/>
              </w:rPr>
              <w:t>70.0</w:t>
            </w:r>
          </w:p>
        </w:tc>
        <w:tc>
          <w:tcPr>
            <w:tcW w:w="1394" w:type="dxa"/>
          </w:tcPr>
          <w:p>
            <w:pPr>
              <w:pStyle w:val="TableParagraph"/>
              <w:ind w:right="125"/>
              <w:rPr>
                <w:sz w:val="22"/>
              </w:rPr>
            </w:pPr>
            <w:r>
              <w:rPr>
                <w:sz w:val="22"/>
              </w:rPr>
              <w:t>20.0</w:t>
            </w:r>
          </w:p>
        </w:tc>
        <w:tc>
          <w:tcPr>
            <w:tcW w:w="1394" w:type="dxa"/>
          </w:tcPr>
          <w:p>
            <w:pPr>
              <w:pStyle w:val="TableParagraph"/>
              <w:ind w:right="125"/>
              <w:rPr>
                <w:sz w:val="22"/>
              </w:rPr>
            </w:pPr>
            <w:r>
              <w:rPr>
                <w:w w:val="105"/>
                <w:sz w:val="22"/>
              </w:rPr>
              <w:t>3.3</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10.3</w:t>
            </w:r>
          </w:p>
        </w:tc>
        <w:tc>
          <w:tcPr>
            <w:tcW w:w="1394" w:type="dxa"/>
          </w:tcPr>
          <w:p>
            <w:pPr>
              <w:pStyle w:val="TableParagraph"/>
              <w:ind w:right="125"/>
              <w:rPr>
                <w:sz w:val="22"/>
              </w:rPr>
            </w:pPr>
            <w:r>
              <w:rPr>
                <w:sz w:val="22"/>
              </w:rPr>
              <w:t>37.9</w:t>
            </w:r>
          </w:p>
        </w:tc>
        <w:tc>
          <w:tcPr>
            <w:tcW w:w="1394" w:type="dxa"/>
          </w:tcPr>
          <w:p>
            <w:pPr>
              <w:pStyle w:val="TableParagraph"/>
              <w:ind w:right="125"/>
              <w:rPr>
                <w:sz w:val="22"/>
              </w:rPr>
            </w:pPr>
            <w:r>
              <w:rPr>
                <w:sz w:val="22"/>
              </w:rPr>
              <w:t>44.8</w:t>
            </w:r>
          </w:p>
        </w:tc>
        <w:tc>
          <w:tcPr>
            <w:tcW w:w="1394" w:type="dxa"/>
          </w:tcPr>
          <w:p>
            <w:pPr>
              <w:pStyle w:val="TableParagraph"/>
              <w:ind w:right="125"/>
              <w:rPr>
                <w:sz w:val="22"/>
              </w:rPr>
            </w:pPr>
            <w:r>
              <w:rPr>
                <w:w w:val="105"/>
                <w:sz w:val="22"/>
              </w:rPr>
              <w:t>6.9</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3.7</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44.4</w:t>
            </w:r>
          </w:p>
        </w:tc>
        <w:tc>
          <w:tcPr>
            <w:tcW w:w="1394" w:type="dxa"/>
          </w:tcPr>
          <w:p>
            <w:pPr>
              <w:pStyle w:val="TableParagraph"/>
              <w:ind w:right="125"/>
              <w:rPr>
                <w:sz w:val="22"/>
              </w:rPr>
            </w:pPr>
            <w:r>
              <w:rPr>
                <w:sz w:val="22"/>
              </w:rPr>
              <w:t>18.5</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55.6</w:t>
            </w:r>
          </w:p>
        </w:tc>
        <w:tc>
          <w:tcPr>
            <w:tcW w:w="1394" w:type="dxa"/>
          </w:tcPr>
          <w:p>
            <w:pPr>
              <w:pStyle w:val="TableParagraph"/>
              <w:ind w:right="125"/>
              <w:rPr>
                <w:sz w:val="22"/>
              </w:rPr>
            </w:pPr>
            <w:r>
              <w:rPr>
                <w:sz w:val="22"/>
              </w:rPr>
              <w:t>18.5</w:t>
            </w:r>
          </w:p>
        </w:tc>
        <w:tc>
          <w:tcPr>
            <w:tcW w:w="1394" w:type="dxa"/>
          </w:tcPr>
          <w:p>
            <w:pPr>
              <w:pStyle w:val="TableParagraph"/>
              <w:ind w:right="125"/>
              <w:rPr>
                <w:sz w:val="22"/>
              </w:rPr>
            </w:pPr>
            <w:r>
              <w:rPr>
                <w:sz w:val="22"/>
              </w:rPr>
              <w:t>14.8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16.7</w:t>
            </w:r>
          </w:p>
        </w:tc>
        <w:tc>
          <w:tcPr>
            <w:tcW w:w="1394" w:type="dxa"/>
          </w:tcPr>
          <w:p>
            <w:pPr>
              <w:pStyle w:val="TableParagraph"/>
              <w:ind w:right="125"/>
              <w:rPr>
                <w:sz w:val="22"/>
              </w:rPr>
            </w:pPr>
            <w:r>
              <w:rPr>
                <w:sz w:val="22"/>
              </w:rPr>
              <w:t>46.7</w:t>
            </w:r>
          </w:p>
        </w:tc>
        <w:tc>
          <w:tcPr>
            <w:tcW w:w="1394" w:type="dxa"/>
          </w:tcPr>
          <w:p>
            <w:pPr>
              <w:pStyle w:val="TableParagraph"/>
              <w:ind w:right="125"/>
              <w:rPr>
                <w:sz w:val="22"/>
              </w:rPr>
            </w:pPr>
            <w:r>
              <w:rPr>
                <w:sz w:val="22"/>
              </w:rPr>
              <w:t>30.0</w:t>
            </w:r>
          </w:p>
        </w:tc>
        <w:tc>
          <w:tcPr>
            <w:tcW w:w="1394" w:type="dxa"/>
          </w:tcPr>
          <w:p>
            <w:pPr>
              <w:pStyle w:val="TableParagraph"/>
              <w:ind w:right="125"/>
              <w:rPr>
                <w:sz w:val="22"/>
              </w:rPr>
            </w:pPr>
            <w:r>
              <w:rPr>
                <w:w w:val="105"/>
                <w:sz w:val="22"/>
              </w:rPr>
              <w:t>6.7</w:t>
            </w:r>
          </w:p>
        </w:tc>
      </w:tr>
    </w:tbl>
    <w:p>
      <w:pPr>
        <w:spacing w:after="0"/>
        <w:rPr>
          <w:sz w:val="22"/>
        </w:rPr>
        <w:sectPr>
          <w:pgSz w:w="11900" w:h="16840"/>
          <w:pgMar w:header="0" w:footer="765" w:top="1600" w:bottom="1040" w:left="1000" w:right="1060"/>
        </w:sectPr>
      </w:pPr>
    </w:p>
    <w:p>
      <w:pPr>
        <w:pStyle w:val="BodyText"/>
        <w:rPr>
          <w:sz w:val="20"/>
        </w:rPr>
      </w:pPr>
    </w:p>
    <w:p>
      <w:pPr>
        <w:pStyle w:val="BodyText"/>
        <w:rPr>
          <w:sz w:val="20"/>
        </w:rPr>
      </w:pPr>
    </w:p>
    <w:p>
      <w:pPr>
        <w:pStyle w:val="BodyText"/>
        <w:spacing w:before="1"/>
        <w:rPr>
          <w:sz w:val="15"/>
        </w:rPr>
      </w:pPr>
    </w:p>
    <w:p>
      <w:pPr>
        <w:pStyle w:val="Heading4"/>
        <w:spacing w:before="108"/>
      </w:pPr>
      <w:r>
        <w:rPr>
          <w:w w:val="105"/>
        </w:rPr>
        <w:t>＜県南地区＞</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28</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46.6</w:t>
            </w:r>
          </w:p>
        </w:tc>
        <w:tc>
          <w:tcPr>
            <w:tcW w:w="1395" w:type="dxa"/>
          </w:tcPr>
          <w:p>
            <w:pPr>
              <w:pStyle w:val="TableParagraph"/>
              <w:ind w:right="131"/>
              <w:rPr>
                <w:rFonts w:ascii="A-OTF Futo Go B101 Pr6N"/>
                <w:b/>
                <w:sz w:val="22"/>
              </w:rPr>
            </w:pPr>
            <w:r>
              <w:rPr>
                <w:rFonts w:ascii="A-OTF Futo Go B101 Pr6N"/>
                <w:b/>
                <w:w w:val="105"/>
                <w:sz w:val="22"/>
              </w:rPr>
              <w:t>37.1</w:t>
            </w:r>
          </w:p>
        </w:tc>
        <w:tc>
          <w:tcPr>
            <w:tcW w:w="1395" w:type="dxa"/>
          </w:tcPr>
          <w:p>
            <w:pPr>
              <w:pStyle w:val="TableParagraph"/>
              <w:ind w:right="132"/>
              <w:rPr>
                <w:rFonts w:ascii="A-OTF Futo Go B101 Pr6N"/>
                <w:b/>
                <w:sz w:val="22"/>
              </w:rPr>
            </w:pPr>
            <w:r>
              <w:rPr>
                <w:rFonts w:ascii="A-OTF Futo Go B101 Pr6N"/>
                <w:b/>
                <w:w w:val="105"/>
                <w:sz w:val="22"/>
              </w:rPr>
              <w:t>37.1</w:t>
            </w:r>
          </w:p>
        </w:tc>
        <w:tc>
          <w:tcPr>
            <w:tcW w:w="1395" w:type="dxa"/>
          </w:tcPr>
          <w:p>
            <w:pPr>
              <w:pStyle w:val="TableParagraph"/>
              <w:ind w:right="133"/>
              <w:rPr>
                <w:rFonts w:ascii="A-OTF Futo Go B101 Pr6N"/>
                <w:b/>
                <w:sz w:val="22"/>
              </w:rPr>
            </w:pPr>
            <w:r>
              <w:rPr>
                <w:rFonts w:ascii="A-OTF Futo Go B101 Pr6N"/>
                <w:b/>
                <w:w w:val="105"/>
                <w:sz w:val="22"/>
              </w:rPr>
              <w:t>39.8</w:t>
            </w:r>
          </w:p>
        </w:tc>
        <w:tc>
          <w:tcPr>
            <w:tcW w:w="1395" w:type="dxa"/>
          </w:tcPr>
          <w:p>
            <w:pPr>
              <w:pStyle w:val="TableParagraph"/>
              <w:ind w:right="133"/>
              <w:rPr>
                <w:rFonts w:ascii="A-OTF Futo Go B101 Pr6N"/>
                <w:b/>
                <w:sz w:val="22"/>
              </w:rPr>
            </w:pPr>
            <w:r>
              <w:rPr>
                <w:rFonts w:ascii="A-OTF Futo Go B101 Pr6N"/>
                <w:b/>
                <w:w w:val="105"/>
                <w:sz w:val="22"/>
              </w:rPr>
              <w:t>44.6</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47.5</w:t>
            </w:r>
          </w:p>
        </w:tc>
        <w:tc>
          <w:tcPr>
            <w:tcW w:w="1395" w:type="dxa"/>
          </w:tcPr>
          <w:p>
            <w:pPr>
              <w:pStyle w:val="TableParagraph"/>
              <w:ind w:right="129"/>
              <w:rPr>
                <w:sz w:val="22"/>
              </w:rPr>
            </w:pPr>
            <w:r>
              <w:rPr>
                <w:sz w:val="22"/>
              </w:rPr>
              <w:t>36.3</w:t>
            </w:r>
          </w:p>
        </w:tc>
        <w:tc>
          <w:tcPr>
            <w:tcW w:w="1395" w:type="dxa"/>
          </w:tcPr>
          <w:p>
            <w:pPr>
              <w:pStyle w:val="TableParagraph"/>
              <w:ind w:right="129"/>
              <w:rPr>
                <w:sz w:val="22"/>
              </w:rPr>
            </w:pPr>
            <w:r>
              <w:rPr>
                <w:sz w:val="22"/>
              </w:rPr>
              <w:t>37.5</w:t>
            </w:r>
          </w:p>
        </w:tc>
        <w:tc>
          <w:tcPr>
            <w:tcW w:w="1395" w:type="dxa"/>
          </w:tcPr>
          <w:p>
            <w:pPr>
              <w:pStyle w:val="TableParagraph"/>
              <w:ind w:right="130"/>
              <w:rPr>
                <w:sz w:val="22"/>
              </w:rPr>
            </w:pPr>
            <w:r>
              <w:rPr>
                <w:sz w:val="22"/>
              </w:rPr>
              <w:t>40.3</w:t>
            </w:r>
          </w:p>
        </w:tc>
        <w:tc>
          <w:tcPr>
            <w:tcW w:w="1395" w:type="dxa"/>
          </w:tcPr>
          <w:p>
            <w:pPr>
              <w:pStyle w:val="TableParagraph"/>
              <w:ind w:right="131"/>
              <w:rPr>
                <w:sz w:val="22"/>
              </w:rPr>
            </w:pPr>
            <w:r>
              <w:rPr>
                <w:sz w:val="22"/>
              </w:rPr>
              <w:t>43.4</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sz w:val="22"/>
              </w:rPr>
              <w:t>46.9</w:t>
            </w:r>
          </w:p>
        </w:tc>
        <w:tc>
          <w:tcPr>
            <w:tcW w:w="1395" w:type="dxa"/>
          </w:tcPr>
          <w:p>
            <w:pPr>
              <w:pStyle w:val="TableParagraph"/>
              <w:ind w:right="129"/>
              <w:rPr>
                <w:sz w:val="22"/>
              </w:rPr>
            </w:pPr>
            <w:r>
              <w:rPr>
                <w:sz w:val="22"/>
              </w:rPr>
              <w:t>28.1</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36.1</w:t>
            </w:r>
          </w:p>
        </w:tc>
        <w:tc>
          <w:tcPr>
            <w:tcW w:w="1395" w:type="dxa"/>
          </w:tcPr>
          <w:p>
            <w:pPr>
              <w:pStyle w:val="TableParagraph"/>
              <w:ind w:right="131"/>
              <w:rPr>
                <w:sz w:val="22"/>
              </w:rPr>
            </w:pPr>
            <w:r>
              <w:rPr>
                <w:sz w:val="22"/>
              </w:rPr>
              <w:t>36.1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sz w:val="22"/>
              </w:rPr>
              <w:t>58.3</w:t>
            </w:r>
          </w:p>
        </w:tc>
        <w:tc>
          <w:tcPr>
            <w:tcW w:w="1395" w:type="dxa"/>
          </w:tcPr>
          <w:p>
            <w:pPr>
              <w:pStyle w:val="TableParagraph"/>
              <w:ind w:right="129"/>
              <w:rPr>
                <w:sz w:val="22"/>
              </w:rPr>
            </w:pPr>
            <w:r>
              <w:rPr>
                <w:sz w:val="22"/>
              </w:rPr>
              <w:t>41.7</w:t>
            </w:r>
          </w:p>
        </w:tc>
        <w:tc>
          <w:tcPr>
            <w:tcW w:w="1395" w:type="dxa"/>
          </w:tcPr>
          <w:p>
            <w:pPr>
              <w:pStyle w:val="TableParagraph"/>
              <w:ind w:right="129"/>
              <w:rPr>
                <w:sz w:val="22"/>
              </w:rPr>
            </w:pPr>
            <w:r>
              <w:rPr>
                <w:sz w:val="22"/>
              </w:rPr>
              <w:t>58.3</w:t>
            </w:r>
          </w:p>
        </w:tc>
        <w:tc>
          <w:tcPr>
            <w:tcW w:w="1395" w:type="dxa"/>
          </w:tcPr>
          <w:p>
            <w:pPr>
              <w:pStyle w:val="TableParagraph"/>
              <w:ind w:right="130"/>
              <w:rPr>
                <w:sz w:val="22"/>
              </w:rPr>
            </w:pPr>
            <w:r>
              <w:rPr>
                <w:sz w:val="22"/>
              </w:rPr>
              <w:t>62.5</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28"/>
              <w:rPr>
                <w:sz w:val="22"/>
              </w:rPr>
            </w:pPr>
            <w:r>
              <w:rPr>
                <w:sz w:val="22"/>
              </w:rPr>
              <w:t>42.9</w:t>
            </w:r>
          </w:p>
        </w:tc>
        <w:tc>
          <w:tcPr>
            <w:tcW w:w="1395" w:type="dxa"/>
          </w:tcPr>
          <w:p>
            <w:pPr>
              <w:pStyle w:val="TableParagraph"/>
              <w:ind w:right="129"/>
              <w:rPr>
                <w:sz w:val="22"/>
              </w:rPr>
            </w:pPr>
            <w:r>
              <w:rPr>
                <w:sz w:val="22"/>
              </w:rPr>
              <w:t>35.7</w:t>
            </w:r>
          </w:p>
        </w:tc>
        <w:tc>
          <w:tcPr>
            <w:tcW w:w="1395" w:type="dxa"/>
          </w:tcPr>
          <w:p>
            <w:pPr>
              <w:pStyle w:val="TableParagraph"/>
              <w:ind w:right="129"/>
              <w:rPr>
                <w:sz w:val="22"/>
              </w:rPr>
            </w:pPr>
            <w:r>
              <w:rPr>
                <w:sz w:val="22"/>
              </w:rPr>
              <w:t>35.7</w:t>
            </w:r>
          </w:p>
        </w:tc>
        <w:tc>
          <w:tcPr>
            <w:tcW w:w="1395" w:type="dxa"/>
          </w:tcPr>
          <w:p>
            <w:pPr>
              <w:pStyle w:val="TableParagraph"/>
              <w:ind w:right="130"/>
              <w:rPr>
                <w:sz w:val="22"/>
              </w:rPr>
            </w:pPr>
            <w:r>
              <w:rPr>
                <w:sz w:val="22"/>
              </w:rPr>
              <w:t>35.0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62.5</w:t>
            </w:r>
          </w:p>
        </w:tc>
        <w:tc>
          <w:tcPr>
            <w:tcW w:w="1395" w:type="dxa"/>
          </w:tcPr>
          <w:p>
            <w:pPr>
              <w:pStyle w:val="TableParagraph"/>
              <w:ind w:right="129"/>
              <w:rPr>
                <w:sz w:val="22"/>
              </w:rPr>
            </w:pPr>
            <w:r>
              <w:rPr>
                <w:sz w:val="22"/>
              </w:rPr>
              <w:t>62.5</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42.9</w:t>
            </w:r>
          </w:p>
        </w:tc>
        <w:tc>
          <w:tcPr>
            <w:tcW w:w="1395" w:type="dxa"/>
          </w:tcPr>
          <w:p>
            <w:pPr>
              <w:pStyle w:val="TableParagraph"/>
              <w:ind w:right="129"/>
              <w:rPr>
                <w:sz w:val="22"/>
              </w:rPr>
            </w:pPr>
            <w:r>
              <w:rPr>
                <w:sz w:val="22"/>
              </w:rPr>
              <w:t>35.7</w:t>
            </w:r>
          </w:p>
        </w:tc>
        <w:tc>
          <w:tcPr>
            <w:tcW w:w="1395" w:type="dxa"/>
          </w:tcPr>
          <w:p>
            <w:pPr>
              <w:pStyle w:val="TableParagraph"/>
              <w:ind w:right="129"/>
              <w:rPr>
                <w:sz w:val="22"/>
              </w:rPr>
            </w:pPr>
            <w:r>
              <w:rPr>
                <w:sz w:val="22"/>
              </w:rPr>
              <w:t>32.1</w:t>
            </w:r>
          </w:p>
        </w:tc>
        <w:tc>
          <w:tcPr>
            <w:tcW w:w="1395" w:type="dxa"/>
          </w:tcPr>
          <w:p>
            <w:pPr>
              <w:pStyle w:val="TableParagraph"/>
              <w:ind w:right="130"/>
              <w:rPr>
                <w:sz w:val="22"/>
              </w:rPr>
            </w:pPr>
            <w:r>
              <w:rPr>
                <w:sz w:val="22"/>
              </w:rPr>
              <w:t>35.7</w:t>
            </w:r>
          </w:p>
        </w:tc>
        <w:tc>
          <w:tcPr>
            <w:tcW w:w="1395" w:type="dxa"/>
          </w:tcPr>
          <w:p>
            <w:pPr>
              <w:pStyle w:val="TableParagraph"/>
              <w:ind w:right="131"/>
              <w:rPr>
                <w:sz w:val="22"/>
              </w:rPr>
            </w:pPr>
            <w:r>
              <w:rPr>
                <w:sz w:val="22"/>
              </w:rPr>
              <w:t>46.4</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28"/>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29"/>
              <w:rPr>
                <w:sz w:val="22"/>
              </w:rPr>
            </w:pPr>
            <w:r>
              <w:rPr>
                <w:sz w:val="22"/>
              </w:rPr>
              <w:t>50.0</w:t>
            </w:r>
          </w:p>
        </w:tc>
        <w:tc>
          <w:tcPr>
            <w:tcW w:w="1395" w:type="dxa"/>
          </w:tcPr>
          <w:p>
            <w:pPr>
              <w:pStyle w:val="TableParagraph"/>
              <w:ind w:right="130"/>
              <w:rPr>
                <w:sz w:val="22"/>
              </w:rPr>
            </w:pPr>
            <w:r>
              <w:rPr>
                <w:sz w:val="22"/>
              </w:rPr>
              <w:t>50.0</w:t>
            </w:r>
          </w:p>
        </w:tc>
        <w:tc>
          <w:tcPr>
            <w:tcW w:w="1395" w:type="dxa"/>
          </w:tcPr>
          <w:p>
            <w:pPr>
              <w:pStyle w:val="TableParagraph"/>
              <w:ind w:right="131"/>
              <w:rPr>
                <w:sz w:val="22"/>
              </w:rPr>
            </w:pPr>
            <w:r>
              <w:rPr>
                <w:sz w:val="22"/>
              </w:rPr>
              <w:t>50.0</w:t>
            </w:r>
          </w:p>
        </w:tc>
      </w:tr>
    </w:tbl>
    <w:p>
      <w:pPr>
        <w:pStyle w:val="BodyText"/>
        <w:spacing w:before="224"/>
        <w:ind w:left="394"/>
      </w:pPr>
      <w:r>
        <w:rPr>
          <w:spacing w:val="-3"/>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20.7</w:t>
            </w:r>
          </w:p>
        </w:tc>
        <w:tc>
          <w:tcPr>
            <w:tcW w:w="1394" w:type="dxa"/>
          </w:tcPr>
          <w:p>
            <w:pPr>
              <w:pStyle w:val="TableParagraph"/>
              <w:ind w:right="125"/>
              <w:rPr>
                <w:sz w:val="22"/>
              </w:rPr>
            </w:pPr>
            <w:r>
              <w:rPr>
                <w:sz w:val="22"/>
              </w:rPr>
              <w:t>51.7</w:t>
            </w:r>
          </w:p>
        </w:tc>
        <w:tc>
          <w:tcPr>
            <w:tcW w:w="1394" w:type="dxa"/>
          </w:tcPr>
          <w:p>
            <w:pPr>
              <w:pStyle w:val="TableParagraph"/>
              <w:ind w:right="125"/>
              <w:rPr>
                <w:sz w:val="22"/>
              </w:rPr>
            </w:pPr>
            <w:r>
              <w:rPr>
                <w:sz w:val="22"/>
              </w:rPr>
              <w:t>20.7</w:t>
            </w:r>
          </w:p>
        </w:tc>
        <w:tc>
          <w:tcPr>
            <w:tcW w:w="1394" w:type="dxa"/>
          </w:tcPr>
          <w:p>
            <w:pPr>
              <w:pStyle w:val="TableParagraph"/>
              <w:ind w:right="125"/>
              <w:rPr>
                <w:sz w:val="22"/>
              </w:rPr>
            </w:pPr>
            <w:r>
              <w:rPr>
                <w:w w:val="105"/>
                <w:sz w:val="22"/>
              </w:rPr>
              <w:t>6.9</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13.8</w:t>
            </w:r>
          </w:p>
        </w:tc>
        <w:tc>
          <w:tcPr>
            <w:tcW w:w="1394" w:type="dxa"/>
          </w:tcPr>
          <w:p>
            <w:pPr>
              <w:pStyle w:val="TableParagraph"/>
              <w:ind w:right="125"/>
              <w:rPr>
                <w:sz w:val="22"/>
              </w:rPr>
            </w:pPr>
            <w:r>
              <w:rPr>
                <w:sz w:val="22"/>
              </w:rPr>
              <w:t>34.5</w:t>
            </w:r>
          </w:p>
        </w:tc>
        <w:tc>
          <w:tcPr>
            <w:tcW w:w="1394" w:type="dxa"/>
          </w:tcPr>
          <w:p>
            <w:pPr>
              <w:pStyle w:val="TableParagraph"/>
              <w:ind w:right="125"/>
              <w:rPr>
                <w:sz w:val="22"/>
              </w:rPr>
            </w:pPr>
            <w:r>
              <w:rPr>
                <w:sz w:val="22"/>
              </w:rPr>
              <w:t>37.9</w:t>
            </w:r>
          </w:p>
        </w:tc>
        <w:tc>
          <w:tcPr>
            <w:tcW w:w="1394" w:type="dxa"/>
          </w:tcPr>
          <w:p>
            <w:pPr>
              <w:pStyle w:val="TableParagraph"/>
              <w:ind w:right="125"/>
              <w:rPr>
                <w:sz w:val="22"/>
              </w:rPr>
            </w:pPr>
            <w:r>
              <w:rPr>
                <w:sz w:val="22"/>
              </w:rPr>
              <w:t>13.8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6.9</w:t>
            </w:r>
          </w:p>
        </w:tc>
        <w:tc>
          <w:tcPr>
            <w:tcW w:w="1394" w:type="dxa"/>
          </w:tcPr>
          <w:p>
            <w:pPr>
              <w:pStyle w:val="TableParagraph"/>
              <w:ind w:right="125"/>
              <w:rPr>
                <w:sz w:val="22"/>
              </w:rPr>
            </w:pPr>
            <w:r>
              <w:rPr>
                <w:sz w:val="22"/>
              </w:rPr>
              <w:t>48.3</w:t>
            </w:r>
          </w:p>
        </w:tc>
        <w:tc>
          <w:tcPr>
            <w:tcW w:w="1394" w:type="dxa"/>
          </w:tcPr>
          <w:p>
            <w:pPr>
              <w:pStyle w:val="TableParagraph"/>
              <w:ind w:right="125"/>
              <w:rPr>
                <w:sz w:val="22"/>
              </w:rPr>
            </w:pPr>
            <w:r>
              <w:rPr>
                <w:sz w:val="22"/>
              </w:rPr>
              <w:t>31.0</w:t>
            </w:r>
          </w:p>
        </w:tc>
        <w:tc>
          <w:tcPr>
            <w:tcW w:w="1394" w:type="dxa"/>
          </w:tcPr>
          <w:p>
            <w:pPr>
              <w:pStyle w:val="TableParagraph"/>
              <w:ind w:right="125"/>
              <w:rPr>
                <w:sz w:val="22"/>
              </w:rPr>
            </w:pPr>
            <w:r>
              <w:rPr>
                <w:sz w:val="22"/>
              </w:rPr>
              <w:t>13.8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7.4</w:t>
            </w:r>
          </w:p>
        </w:tc>
        <w:tc>
          <w:tcPr>
            <w:tcW w:w="1394" w:type="dxa"/>
          </w:tcPr>
          <w:p>
            <w:pPr>
              <w:pStyle w:val="TableParagraph"/>
              <w:ind w:right="125"/>
              <w:rPr>
                <w:sz w:val="22"/>
              </w:rPr>
            </w:pPr>
            <w:r>
              <w:rPr>
                <w:sz w:val="22"/>
              </w:rPr>
              <w:t>59.3</w:t>
            </w:r>
          </w:p>
        </w:tc>
        <w:tc>
          <w:tcPr>
            <w:tcW w:w="1394" w:type="dxa"/>
          </w:tcPr>
          <w:p>
            <w:pPr>
              <w:pStyle w:val="TableParagraph"/>
              <w:ind w:right="125"/>
              <w:rPr>
                <w:sz w:val="22"/>
              </w:rPr>
            </w:pPr>
            <w:r>
              <w:rPr>
                <w:sz w:val="22"/>
              </w:rPr>
              <w:t>18.5</w:t>
            </w:r>
          </w:p>
        </w:tc>
        <w:tc>
          <w:tcPr>
            <w:tcW w:w="1394" w:type="dxa"/>
          </w:tcPr>
          <w:p>
            <w:pPr>
              <w:pStyle w:val="TableParagraph"/>
              <w:ind w:right="125"/>
              <w:rPr>
                <w:sz w:val="22"/>
              </w:rPr>
            </w:pPr>
            <w:r>
              <w:rPr>
                <w:sz w:val="22"/>
              </w:rPr>
              <w:t>14.8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3.6</w:t>
            </w:r>
          </w:p>
        </w:tc>
        <w:tc>
          <w:tcPr>
            <w:tcW w:w="1394" w:type="dxa"/>
          </w:tcPr>
          <w:p>
            <w:pPr>
              <w:pStyle w:val="TableParagraph"/>
              <w:ind w:right="126"/>
              <w:rPr>
                <w:sz w:val="22"/>
              </w:rPr>
            </w:pPr>
            <w:r>
              <w:rPr>
                <w:sz w:val="22"/>
              </w:rPr>
              <w:t>10.7</w:t>
            </w:r>
          </w:p>
        </w:tc>
        <w:tc>
          <w:tcPr>
            <w:tcW w:w="1394" w:type="dxa"/>
          </w:tcPr>
          <w:p>
            <w:pPr>
              <w:pStyle w:val="TableParagraph"/>
              <w:ind w:right="125"/>
              <w:rPr>
                <w:sz w:val="22"/>
              </w:rPr>
            </w:pPr>
            <w:r>
              <w:rPr>
                <w:sz w:val="22"/>
              </w:rPr>
              <w:t>50.0</w:t>
            </w:r>
          </w:p>
        </w:tc>
        <w:tc>
          <w:tcPr>
            <w:tcW w:w="1394" w:type="dxa"/>
          </w:tcPr>
          <w:p>
            <w:pPr>
              <w:pStyle w:val="TableParagraph"/>
              <w:ind w:right="125"/>
              <w:rPr>
                <w:sz w:val="22"/>
              </w:rPr>
            </w:pPr>
            <w:r>
              <w:rPr>
                <w:sz w:val="22"/>
              </w:rPr>
              <w:t>32.1</w:t>
            </w:r>
          </w:p>
        </w:tc>
        <w:tc>
          <w:tcPr>
            <w:tcW w:w="1394" w:type="dxa"/>
          </w:tcPr>
          <w:p>
            <w:pPr>
              <w:pStyle w:val="TableParagraph"/>
              <w:ind w:right="125"/>
              <w:rPr>
                <w:sz w:val="22"/>
              </w:rPr>
            </w:pPr>
            <w:r>
              <w:rPr>
                <w:w w:val="105"/>
                <w:sz w:val="22"/>
              </w:rPr>
              <w:t>3.6</w:t>
            </w:r>
          </w:p>
        </w:tc>
      </w:tr>
    </w:tbl>
    <w:p>
      <w:pPr>
        <w:pStyle w:val="BodyText"/>
        <w:spacing w:before="13"/>
        <w:rPr>
          <w:sz w:val="38"/>
        </w:rPr>
      </w:pPr>
    </w:p>
    <w:p>
      <w:pPr>
        <w:pStyle w:val="Heading4"/>
      </w:pPr>
      <w:r>
        <w:rPr>
          <w:spacing w:val="-3"/>
        </w:rPr>
        <w:t>＜下北地区＞（参考）</w:t>
      </w:r>
    </w:p>
    <w:p>
      <w:pPr>
        <w:pStyle w:val="BodyText"/>
        <w:spacing w:line="294" w:lineRule="exac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49" w:lineRule="exact"/>
              <w:ind w:left="405"/>
              <w:jc w:val="left"/>
              <w:rPr>
                <w:sz w:val="22"/>
              </w:rPr>
            </w:pPr>
            <w:r>
              <w:rPr>
                <w:sz w:val="22"/>
              </w:rPr>
              <w:t>ｎ= 10</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44.4</w:t>
            </w:r>
          </w:p>
        </w:tc>
        <w:tc>
          <w:tcPr>
            <w:tcW w:w="1395" w:type="dxa"/>
          </w:tcPr>
          <w:p>
            <w:pPr>
              <w:pStyle w:val="TableParagraph"/>
              <w:ind w:left="790"/>
              <w:jc w:val="left"/>
              <w:rPr>
                <w:rFonts w:ascii="A-OTF Futo Go B101 Pr6N"/>
                <w:b/>
                <w:sz w:val="22"/>
              </w:rPr>
            </w:pPr>
            <w:r>
              <w:rPr>
                <w:rFonts w:ascii="A-OTF Futo Go B101 Pr6N"/>
                <w:b/>
                <w:w w:val="105"/>
                <w:sz w:val="22"/>
              </w:rPr>
              <w:t>27.8</w:t>
            </w:r>
          </w:p>
        </w:tc>
        <w:tc>
          <w:tcPr>
            <w:tcW w:w="1395" w:type="dxa"/>
          </w:tcPr>
          <w:p>
            <w:pPr>
              <w:pStyle w:val="TableParagraph"/>
              <w:ind w:right="132"/>
              <w:rPr>
                <w:rFonts w:ascii="A-OTF Futo Go B101 Pr6N"/>
                <w:b/>
                <w:sz w:val="22"/>
              </w:rPr>
            </w:pPr>
            <w:r>
              <w:rPr>
                <w:rFonts w:ascii="A-OTF Futo Go B101 Pr6N"/>
                <w:b/>
                <w:w w:val="105"/>
                <w:sz w:val="22"/>
              </w:rPr>
              <w:t>28.6</w:t>
            </w:r>
          </w:p>
        </w:tc>
        <w:tc>
          <w:tcPr>
            <w:tcW w:w="1395" w:type="dxa"/>
          </w:tcPr>
          <w:p>
            <w:pPr>
              <w:pStyle w:val="TableParagraph"/>
              <w:ind w:right="133"/>
              <w:rPr>
                <w:rFonts w:ascii="A-OTF Futo Go B101 Pr6N"/>
                <w:b/>
                <w:sz w:val="22"/>
              </w:rPr>
            </w:pPr>
            <w:r>
              <w:rPr>
                <w:rFonts w:ascii="A-OTF Futo Go B101 Pr6N"/>
                <w:b/>
                <w:w w:val="105"/>
                <w:sz w:val="22"/>
              </w:rPr>
              <w:t>32.5</w:t>
            </w:r>
          </w:p>
        </w:tc>
        <w:tc>
          <w:tcPr>
            <w:tcW w:w="1395" w:type="dxa"/>
          </w:tcPr>
          <w:p>
            <w:pPr>
              <w:pStyle w:val="TableParagraph"/>
              <w:ind w:left="788"/>
              <w:jc w:val="left"/>
              <w:rPr>
                <w:rFonts w:ascii="A-OTF Futo Go B101 Pr6N"/>
                <w:b/>
                <w:sz w:val="22"/>
              </w:rPr>
            </w:pPr>
            <w:r>
              <w:rPr>
                <w:rFonts w:ascii="A-OTF Futo Go B101 Pr6N"/>
                <w:b/>
                <w:w w:val="105"/>
                <w:sz w:val="22"/>
              </w:rPr>
              <w:t>40.0</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28"/>
              <w:rPr>
                <w:sz w:val="22"/>
              </w:rPr>
            </w:pPr>
            <w:r>
              <w:rPr>
                <w:sz w:val="22"/>
              </w:rPr>
              <w:t>43.8</w:t>
            </w:r>
          </w:p>
        </w:tc>
        <w:tc>
          <w:tcPr>
            <w:tcW w:w="1395" w:type="dxa"/>
          </w:tcPr>
          <w:p>
            <w:pPr>
              <w:pStyle w:val="TableParagraph"/>
              <w:ind w:left="802"/>
              <w:jc w:val="left"/>
              <w:rPr>
                <w:sz w:val="22"/>
              </w:rPr>
            </w:pPr>
            <w:r>
              <w:rPr>
                <w:w w:val="105"/>
                <w:sz w:val="22"/>
              </w:rPr>
              <w:t>28.1</w:t>
            </w:r>
          </w:p>
        </w:tc>
        <w:tc>
          <w:tcPr>
            <w:tcW w:w="1395" w:type="dxa"/>
          </w:tcPr>
          <w:p>
            <w:pPr>
              <w:pStyle w:val="TableParagraph"/>
              <w:ind w:right="129"/>
              <w:rPr>
                <w:sz w:val="22"/>
              </w:rPr>
            </w:pPr>
            <w:r>
              <w:rPr>
                <w:sz w:val="22"/>
              </w:rPr>
              <w:t>33.3</w:t>
            </w:r>
          </w:p>
        </w:tc>
        <w:tc>
          <w:tcPr>
            <w:tcW w:w="1395" w:type="dxa"/>
          </w:tcPr>
          <w:p>
            <w:pPr>
              <w:pStyle w:val="TableParagraph"/>
              <w:ind w:right="130"/>
              <w:rPr>
                <w:sz w:val="22"/>
              </w:rPr>
            </w:pPr>
            <w:r>
              <w:rPr>
                <w:sz w:val="22"/>
              </w:rPr>
              <w:t>27.8</w:t>
            </w:r>
          </w:p>
        </w:tc>
        <w:tc>
          <w:tcPr>
            <w:tcW w:w="1395" w:type="dxa"/>
          </w:tcPr>
          <w:p>
            <w:pPr>
              <w:pStyle w:val="TableParagraph"/>
              <w:ind w:left="800"/>
              <w:jc w:val="left"/>
              <w:rPr>
                <w:sz w:val="22"/>
              </w:rPr>
            </w:pPr>
            <w:r>
              <w:rPr>
                <w:w w:val="105"/>
                <w:sz w:val="22"/>
              </w:rPr>
              <w:t>36.1</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28"/>
              <w:rPr>
                <w:sz w:val="22"/>
              </w:rPr>
            </w:pPr>
            <w:r>
              <w:rPr>
                <w:sz w:val="22"/>
              </w:rPr>
              <w:t>33.3</w:t>
            </w:r>
          </w:p>
        </w:tc>
        <w:tc>
          <w:tcPr>
            <w:tcW w:w="1395" w:type="dxa"/>
          </w:tcPr>
          <w:p>
            <w:pPr>
              <w:pStyle w:val="TableParagraph"/>
              <w:ind w:left="802"/>
              <w:jc w:val="left"/>
              <w:rPr>
                <w:sz w:val="22"/>
              </w:rPr>
            </w:pPr>
            <w:r>
              <w:rPr>
                <w:w w:val="105"/>
                <w:sz w:val="22"/>
              </w:rPr>
              <w:t>37.5</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25.0</w:t>
            </w:r>
          </w:p>
        </w:tc>
        <w:tc>
          <w:tcPr>
            <w:tcW w:w="1395" w:type="dxa"/>
          </w:tcPr>
          <w:p>
            <w:pPr>
              <w:pStyle w:val="TableParagraph"/>
              <w:ind w:left="800"/>
              <w:jc w:val="left"/>
              <w:rPr>
                <w:sz w:val="22"/>
              </w:rPr>
            </w:pPr>
            <w:r>
              <w:rPr>
                <w:w w:val="105"/>
                <w:sz w:val="22"/>
              </w:rPr>
              <w:t>16.7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28"/>
              <w:rPr>
                <w:sz w:val="22"/>
              </w:rPr>
            </w:pPr>
            <w:r>
              <w:rPr>
                <w:sz w:val="22"/>
              </w:rPr>
              <w:t>50.0</w:t>
            </w:r>
          </w:p>
        </w:tc>
        <w:tc>
          <w:tcPr>
            <w:tcW w:w="1395" w:type="dxa"/>
          </w:tcPr>
          <w:p>
            <w:pPr>
              <w:pStyle w:val="TableParagraph"/>
              <w:ind w:left="802"/>
              <w:jc w:val="left"/>
              <w:rPr>
                <w:sz w:val="22"/>
              </w:rPr>
            </w:pPr>
            <w:r>
              <w:rPr>
                <w:w w:val="105"/>
                <w:sz w:val="22"/>
              </w:rPr>
              <w:t>16.7</w:t>
            </w:r>
          </w:p>
        </w:tc>
        <w:tc>
          <w:tcPr>
            <w:tcW w:w="1395" w:type="dxa"/>
          </w:tcPr>
          <w:p>
            <w:pPr>
              <w:pStyle w:val="TableParagraph"/>
              <w:ind w:right="129"/>
              <w:rPr>
                <w:sz w:val="22"/>
              </w:rPr>
            </w:pPr>
            <w:r>
              <w:rPr>
                <w:sz w:val="22"/>
              </w:rPr>
              <w:t>25.0</w:t>
            </w:r>
          </w:p>
        </w:tc>
        <w:tc>
          <w:tcPr>
            <w:tcW w:w="1395" w:type="dxa"/>
          </w:tcPr>
          <w:p>
            <w:pPr>
              <w:pStyle w:val="TableParagraph"/>
              <w:ind w:right="130"/>
              <w:rPr>
                <w:sz w:val="22"/>
              </w:rPr>
            </w:pPr>
            <w:r>
              <w:rPr>
                <w:sz w:val="22"/>
              </w:rPr>
              <w:t>25.0</w:t>
            </w:r>
          </w:p>
        </w:tc>
        <w:tc>
          <w:tcPr>
            <w:tcW w:w="1395" w:type="dxa"/>
          </w:tcPr>
          <w:p>
            <w:pPr>
              <w:pStyle w:val="TableParagraph"/>
              <w:ind w:left="800"/>
              <w:jc w:val="left"/>
              <w:rPr>
                <w:sz w:val="22"/>
              </w:rPr>
            </w:pPr>
            <w:r>
              <w:rPr>
                <w:w w:val="105"/>
                <w:sz w:val="22"/>
              </w:rPr>
              <w:t>41.7</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Borders>
              <w:bottom w:val="dashSmallGap" w:sz="8" w:space="0" w:color="000000"/>
            </w:tcBorders>
          </w:tcPr>
          <w:p>
            <w:pPr>
              <w:pStyle w:val="TableParagraph"/>
              <w:ind w:right="128"/>
              <w:rPr>
                <w:sz w:val="22"/>
              </w:rPr>
            </w:pPr>
            <w:r>
              <w:rPr>
                <w:sz w:val="22"/>
              </w:rPr>
              <w:t>50.0</w:t>
            </w:r>
          </w:p>
        </w:tc>
        <w:tc>
          <w:tcPr>
            <w:tcW w:w="1395" w:type="dxa"/>
            <w:tcBorders>
              <w:bottom w:val="dashSmallGap" w:sz="8" w:space="0" w:color="000000"/>
            </w:tcBorders>
          </w:tcPr>
          <w:p>
            <w:pPr>
              <w:pStyle w:val="TableParagraph"/>
              <w:ind w:left="802"/>
              <w:jc w:val="left"/>
              <w:rPr>
                <w:sz w:val="22"/>
              </w:rPr>
            </w:pPr>
            <w:r>
              <w:rPr>
                <w:w w:val="105"/>
                <w:sz w:val="22"/>
              </w:rPr>
              <w:t>33.3</w:t>
            </w:r>
          </w:p>
        </w:tc>
        <w:tc>
          <w:tcPr>
            <w:tcW w:w="1395" w:type="dxa"/>
          </w:tcPr>
          <w:p>
            <w:pPr>
              <w:pStyle w:val="TableParagraph"/>
              <w:ind w:right="129"/>
              <w:rPr>
                <w:sz w:val="22"/>
              </w:rPr>
            </w:pPr>
            <w:r>
              <w:rPr>
                <w:sz w:val="22"/>
              </w:rPr>
              <w:t>41.7</w:t>
            </w:r>
          </w:p>
        </w:tc>
        <w:tc>
          <w:tcPr>
            <w:tcW w:w="1395" w:type="dxa"/>
          </w:tcPr>
          <w:p>
            <w:pPr>
              <w:pStyle w:val="TableParagraph"/>
              <w:ind w:right="130"/>
              <w:rPr>
                <w:sz w:val="22"/>
              </w:rPr>
            </w:pPr>
            <w:r>
              <w:rPr>
                <w:sz w:val="22"/>
              </w:rPr>
              <w:t>33.3</w:t>
            </w:r>
          </w:p>
        </w:tc>
        <w:tc>
          <w:tcPr>
            <w:tcW w:w="1395" w:type="dxa"/>
          </w:tcPr>
          <w:p>
            <w:pPr>
              <w:pStyle w:val="TableParagraph"/>
              <w:ind w:left="800"/>
              <w:jc w:val="left"/>
              <w:rPr>
                <w:sz w:val="22"/>
              </w:rPr>
            </w:pPr>
            <w:r>
              <w:rPr>
                <w:w w:val="105"/>
                <w:sz w:val="22"/>
              </w:rPr>
              <w:t>50.0</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Borders>
              <w:top w:val="dashSmallGap" w:sz="8" w:space="0" w:color="000000"/>
            </w:tcBorders>
          </w:tcPr>
          <w:p>
            <w:pPr>
              <w:pStyle w:val="TableParagraph"/>
              <w:ind w:right="18"/>
              <w:rPr>
                <w:sz w:val="22"/>
              </w:rPr>
            </w:pPr>
            <w:r>
              <w:rPr>
                <w:w w:val="150"/>
                <w:sz w:val="22"/>
              </w:rPr>
              <w:t>-</w:t>
            </w:r>
          </w:p>
        </w:tc>
        <w:tc>
          <w:tcPr>
            <w:tcW w:w="1395" w:type="dxa"/>
            <w:tcBorders>
              <w:top w:val="dashSmallGap" w:sz="8" w:space="0" w:color="000000"/>
            </w:tcBorders>
          </w:tcPr>
          <w:p>
            <w:pPr>
              <w:pStyle w:val="TableParagraph"/>
              <w:ind w:right="18"/>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28"/>
              <w:rPr>
                <w:sz w:val="22"/>
              </w:rPr>
            </w:pPr>
            <w:r>
              <w:rPr>
                <w:sz w:val="22"/>
              </w:rPr>
              <w:t>50.0</w:t>
            </w:r>
          </w:p>
        </w:tc>
        <w:tc>
          <w:tcPr>
            <w:tcW w:w="1395" w:type="dxa"/>
          </w:tcPr>
          <w:p>
            <w:pPr>
              <w:pStyle w:val="TableParagraph"/>
              <w:ind w:left="802"/>
              <w:jc w:val="left"/>
              <w:rPr>
                <w:sz w:val="22"/>
              </w:rPr>
            </w:pPr>
            <w:r>
              <w:rPr>
                <w:w w:val="105"/>
                <w:sz w:val="22"/>
              </w:rPr>
              <w:t>25.0</w:t>
            </w:r>
          </w:p>
        </w:tc>
        <w:tc>
          <w:tcPr>
            <w:tcW w:w="1395" w:type="dxa"/>
          </w:tcPr>
          <w:p>
            <w:pPr>
              <w:pStyle w:val="TableParagraph"/>
              <w:ind w:right="129"/>
              <w:rPr>
                <w:sz w:val="22"/>
              </w:rPr>
            </w:pPr>
            <w:r>
              <w:rPr>
                <w:w w:val="105"/>
                <w:sz w:val="22"/>
              </w:rPr>
              <w:t>0.0</w:t>
            </w:r>
          </w:p>
        </w:tc>
        <w:tc>
          <w:tcPr>
            <w:tcW w:w="1395" w:type="dxa"/>
          </w:tcPr>
          <w:p>
            <w:pPr>
              <w:pStyle w:val="TableParagraph"/>
              <w:ind w:right="130"/>
              <w:rPr>
                <w:sz w:val="22"/>
              </w:rPr>
            </w:pPr>
            <w:r>
              <w:rPr>
                <w:sz w:val="22"/>
              </w:rPr>
              <w:t>75.0</w:t>
            </w:r>
          </w:p>
        </w:tc>
        <w:tc>
          <w:tcPr>
            <w:tcW w:w="1395" w:type="dxa"/>
          </w:tcPr>
          <w:p>
            <w:pPr>
              <w:pStyle w:val="TableParagraph"/>
              <w:ind w:left="800"/>
              <w:jc w:val="left"/>
              <w:rPr>
                <w:sz w:val="22"/>
              </w:rPr>
            </w:pPr>
            <w:r>
              <w:rPr>
                <w:w w:val="105"/>
                <w:sz w:val="22"/>
              </w:rPr>
              <w:t>75.0</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w w:val="150"/>
                <w:sz w:val="22"/>
              </w:rPr>
              <w:t>-</w:t>
            </w:r>
          </w:p>
        </w:tc>
        <w:tc>
          <w:tcPr>
            <w:tcW w:w="1395" w:type="dxa"/>
          </w:tcPr>
          <w:p>
            <w:pPr>
              <w:pStyle w:val="TableParagraph"/>
              <w:ind w:right="18"/>
              <w:rPr>
                <w:sz w:val="22"/>
              </w:rPr>
            </w:pPr>
            <w:r>
              <w:rPr>
                <w:w w:val="150"/>
                <w:sz w:val="22"/>
              </w:rPr>
              <w:t>-</w:t>
            </w:r>
          </w:p>
        </w:tc>
        <w:tc>
          <w:tcPr>
            <w:tcW w:w="1395" w:type="dxa"/>
          </w:tcPr>
          <w:p>
            <w:pPr>
              <w:pStyle w:val="TableParagraph"/>
              <w:ind w:right="19"/>
              <w:rPr>
                <w:sz w:val="22"/>
              </w:rPr>
            </w:pPr>
            <w:r>
              <w:rPr>
                <w:w w:val="150"/>
                <w:sz w:val="22"/>
              </w:rPr>
              <w:t>-</w:t>
            </w:r>
          </w:p>
        </w:tc>
        <w:tc>
          <w:tcPr>
            <w:tcW w:w="1395" w:type="dxa"/>
          </w:tcPr>
          <w:p>
            <w:pPr>
              <w:pStyle w:val="TableParagraph"/>
              <w:ind w:right="20"/>
              <w:rPr>
                <w:sz w:val="22"/>
              </w:rPr>
            </w:pPr>
            <w:r>
              <w:rPr>
                <w:w w:val="150"/>
                <w:sz w:val="22"/>
              </w:rPr>
              <w:t>-</w:t>
            </w:r>
          </w:p>
        </w:tc>
        <w:tc>
          <w:tcPr>
            <w:tcW w:w="1395" w:type="dxa"/>
          </w:tcPr>
          <w:p>
            <w:pPr>
              <w:pStyle w:val="TableParagraph"/>
              <w:ind w:right="20"/>
              <w:rPr>
                <w:sz w:val="22"/>
              </w:rPr>
            </w:pPr>
            <w:r>
              <w:rPr>
                <w:w w:val="150"/>
                <w:sz w:val="22"/>
              </w:rPr>
              <w:t>-</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65" w:lineRule="exact"/>
              <w:ind w:left="133" w:right="97"/>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2" w:lineRule="exact"/>
              <w:ind w:left="133" w:right="9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394" w:type="dxa"/>
            <w:shd w:val="clear" w:color="auto" w:fill="CCFFCC"/>
          </w:tcPr>
          <w:p>
            <w:pPr>
              <w:pStyle w:val="TableParagraph"/>
              <w:spacing w:line="86" w:lineRule="auto"/>
              <w:ind w:left="153" w:right="114" w:firstLine="110"/>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394" w:type="dxa"/>
            <w:shd w:val="clear" w:color="auto" w:fill="CCFFCC"/>
          </w:tcPr>
          <w:p>
            <w:pPr>
              <w:pStyle w:val="TableParagraph"/>
              <w:spacing w:line="401" w:lineRule="exact"/>
              <w:ind w:right="113"/>
              <w:rPr>
                <w:rFonts w:ascii="A-OTF Futo Go B101 Pr6N" w:eastAsia="A-OTF Futo Go B101 Pr6N" w:hint="eastAsia"/>
                <w:b/>
                <w:sz w:val="22"/>
              </w:rPr>
            </w:pPr>
            <w:r>
              <w:rPr>
                <w:rFonts w:ascii="A-OTF Futo Go B101 Pr6N" w:eastAsia="A-OTF Futo Go B101 Pr6N" w:hint="eastAsia"/>
                <w:b/>
                <w:sz w:val="22"/>
              </w:rPr>
              <w:t>変わらない</w:t>
            </w:r>
          </w:p>
        </w:tc>
        <w:tc>
          <w:tcPr>
            <w:tcW w:w="1394" w:type="dxa"/>
            <w:shd w:val="clear" w:color="auto" w:fill="CCFFCC"/>
          </w:tcPr>
          <w:p>
            <w:pPr>
              <w:pStyle w:val="TableParagraph"/>
              <w:spacing w:line="86" w:lineRule="auto"/>
              <w:ind w:left="154" w:right="113" w:firstLine="110"/>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394" w:type="dxa"/>
            <w:shd w:val="clear" w:color="auto" w:fill="CCFFCC"/>
          </w:tcPr>
          <w:p>
            <w:pPr>
              <w:pStyle w:val="TableParagraph"/>
              <w:spacing w:line="65" w:lineRule="exact"/>
              <w:ind w:left="135" w:right="9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2" w:lineRule="exact"/>
              <w:ind w:left="135" w:right="96"/>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11.1</w:t>
            </w:r>
          </w:p>
        </w:tc>
        <w:tc>
          <w:tcPr>
            <w:tcW w:w="1394" w:type="dxa"/>
          </w:tcPr>
          <w:p>
            <w:pPr>
              <w:pStyle w:val="TableParagraph"/>
              <w:ind w:right="125"/>
              <w:rPr>
                <w:sz w:val="22"/>
              </w:rPr>
            </w:pPr>
            <w:r>
              <w:rPr>
                <w:sz w:val="22"/>
              </w:rPr>
              <w:t>66.7</w:t>
            </w:r>
          </w:p>
        </w:tc>
        <w:tc>
          <w:tcPr>
            <w:tcW w:w="1394" w:type="dxa"/>
          </w:tcPr>
          <w:p>
            <w:pPr>
              <w:pStyle w:val="TableParagraph"/>
              <w:ind w:right="125"/>
              <w:rPr>
                <w:sz w:val="22"/>
              </w:rPr>
            </w:pPr>
            <w:r>
              <w:rPr>
                <w:sz w:val="22"/>
              </w:rPr>
              <w:t>11.1</w:t>
            </w:r>
          </w:p>
        </w:tc>
        <w:tc>
          <w:tcPr>
            <w:tcW w:w="1394" w:type="dxa"/>
          </w:tcPr>
          <w:p>
            <w:pPr>
              <w:pStyle w:val="TableParagraph"/>
              <w:ind w:right="125"/>
              <w:rPr>
                <w:sz w:val="22"/>
              </w:rPr>
            </w:pPr>
            <w:r>
              <w:rPr>
                <w:sz w:val="22"/>
              </w:rPr>
              <w:t>11.1</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33.3</w:t>
            </w:r>
          </w:p>
        </w:tc>
        <w:tc>
          <w:tcPr>
            <w:tcW w:w="1394" w:type="dxa"/>
          </w:tcPr>
          <w:p>
            <w:pPr>
              <w:pStyle w:val="TableParagraph"/>
              <w:ind w:right="125"/>
              <w:rPr>
                <w:sz w:val="22"/>
              </w:rPr>
            </w:pPr>
            <w:r>
              <w:rPr>
                <w:sz w:val="22"/>
              </w:rPr>
              <w:t>44.4</w:t>
            </w:r>
          </w:p>
        </w:tc>
        <w:tc>
          <w:tcPr>
            <w:tcW w:w="1394" w:type="dxa"/>
          </w:tcPr>
          <w:p>
            <w:pPr>
              <w:pStyle w:val="TableParagraph"/>
              <w:ind w:right="125"/>
              <w:rPr>
                <w:sz w:val="22"/>
              </w:rPr>
            </w:pPr>
            <w:r>
              <w:rPr>
                <w:sz w:val="22"/>
              </w:rPr>
              <w:t>22.2</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42.9</w:t>
            </w:r>
          </w:p>
        </w:tc>
        <w:tc>
          <w:tcPr>
            <w:tcW w:w="1394" w:type="dxa"/>
          </w:tcPr>
          <w:p>
            <w:pPr>
              <w:pStyle w:val="TableParagraph"/>
              <w:ind w:right="125"/>
              <w:rPr>
                <w:sz w:val="22"/>
              </w:rPr>
            </w:pPr>
            <w:r>
              <w:rPr>
                <w:sz w:val="22"/>
              </w:rPr>
              <w:t>28.6</w:t>
            </w:r>
          </w:p>
        </w:tc>
        <w:tc>
          <w:tcPr>
            <w:tcW w:w="1394" w:type="dxa"/>
          </w:tcPr>
          <w:p>
            <w:pPr>
              <w:pStyle w:val="TableParagraph"/>
              <w:ind w:right="125"/>
              <w:rPr>
                <w:sz w:val="22"/>
              </w:rPr>
            </w:pPr>
            <w:r>
              <w:rPr>
                <w:sz w:val="22"/>
              </w:rPr>
              <w:t>28.6</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10.0</w:t>
            </w:r>
          </w:p>
        </w:tc>
        <w:tc>
          <w:tcPr>
            <w:tcW w:w="1394" w:type="dxa"/>
          </w:tcPr>
          <w:p>
            <w:pPr>
              <w:pStyle w:val="TableParagraph"/>
              <w:ind w:right="125"/>
              <w:rPr>
                <w:sz w:val="22"/>
              </w:rPr>
            </w:pPr>
            <w:r>
              <w:rPr>
                <w:sz w:val="22"/>
              </w:rPr>
              <w:t>40.0</w:t>
            </w:r>
          </w:p>
        </w:tc>
        <w:tc>
          <w:tcPr>
            <w:tcW w:w="1394" w:type="dxa"/>
          </w:tcPr>
          <w:p>
            <w:pPr>
              <w:pStyle w:val="TableParagraph"/>
              <w:ind w:right="125"/>
              <w:rPr>
                <w:sz w:val="22"/>
              </w:rPr>
            </w:pPr>
            <w:r>
              <w:rPr>
                <w:sz w:val="22"/>
              </w:rPr>
              <w:t>20.0</w:t>
            </w:r>
          </w:p>
        </w:tc>
        <w:tc>
          <w:tcPr>
            <w:tcW w:w="1394" w:type="dxa"/>
          </w:tcPr>
          <w:p>
            <w:pPr>
              <w:pStyle w:val="TableParagraph"/>
              <w:ind w:right="125"/>
              <w:rPr>
                <w:sz w:val="22"/>
              </w:rPr>
            </w:pPr>
            <w:r>
              <w:rPr>
                <w:sz w:val="22"/>
              </w:rPr>
              <w:t>30.0</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sz w:val="22"/>
              </w:rPr>
              <w:t>30.0</w:t>
            </w:r>
          </w:p>
        </w:tc>
        <w:tc>
          <w:tcPr>
            <w:tcW w:w="1394" w:type="dxa"/>
          </w:tcPr>
          <w:p>
            <w:pPr>
              <w:pStyle w:val="TableParagraph"/>
              <w:ind w:right="125"/>
              <w:rPr>
                <w:sz w:val="22"/>
              </w:rPr>
            </w:pPr>
            <w:r>
              <w:rPr>
                <w:sz w:val="22"/>
              </w:rPr>
              <w:t>20.0</w:t>
            </w:r>
          </w:p>
        </w:tc>
        <w:tc>
          <w:tcPr>
            <w:tcW w:w="1394" w:type="dxa"/>
          </w:tcPr>
          <w:p>
            <w:pPr>
              <w:pStyle w:val="TableParagraph"/>
              <w:ind w:right="125"/>
              <w:rPr>
                <w:sz w:val="22"/>
              </w:rPr>
            </w:pPr>
            <w:r>
              <w:rPr>
                <w:sz w:val="22"/>
              </w:rPr>
              <w:t>30.0</w:t>
            </w:r>
          </w:p>
        </w:tc>
        <w:tc>
          <w:tcPr>
            <w:tcW w:w="1394" w:type="dxa"/>
          </w:tcPr>
          <w:p>
            <w:pPr>
              <w:pStyle w:val="TableParagraph"/>
              <w:ind w:right="125"/>
              <w:rPr>
                <w:sz w:val="22"/>
              </w:rPr>
            </w:pPr>
            <w:r>
              <w:rPr>
                <w:sz w:val="22"/>
              </w:rPr>
              <w:t>20.0</w:t>
            </w:r>
          </w:p>
        </w:tc>
      </w:tr>
    </w:tbl>
    <w:p>
      <w:pPr>
        <w:spacing w:after="0"/>
        <w:rPr>
          <w:sz w:val="22"/>
        </w:rPr>
        <w:sectPr>
          <w:pgSz w:w="11900" w:h="16840"/>
          <w:pgMar w:header="0" w:footer="765" w:top="1600" w:bottom="1040" w:left="1000" w:right="1060"/>
        </w:sectPr>
      </w:pPr>
    </w:p>
    <w:p>
      <w:pPr>
        <w:pStyle w:val="Heading1"/>
        <w:ind w:left="192"/>
      </w:pPr>
      <w:r>
        <w:rPr/>
        <w:t>４．判断理由</w:t>
      </w:r>
    </w:p>
    <w:p>
      <w:pPr>
        <w:pStyle w:val="Heading3"/>
        <w:spacing w:before="16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40" w:right="405"/>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ind w:left="64"/>
              <w:jc w:val="left"/>
              <w:rPr>
                <w:sz w:val="20"/>
              </w:rPr>
            </w:pPr>
            <w:r>
              <w:rPr>
                <w:sz w:val="20"/>
              </w:rPr>
              <w:t>家計</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百貨店</w:t>
            </w:r>
          </w:p>
        </w:tc>
        <w:tc>
          <w:tcPr>
            <w:tcW w:w="5795" w:type="dxa"/>
          </w:tcPr>
          <w:p>
            <w:pPr>
              <w:pStyle w:val="TableParagraph"/>
              <w:spacing w:line="240" w:lineRule="auto" w:before="119"/>
              <w:ind w:left="36"/>
              <w:jc w:val="left"/>
              <w:rPr>
                <w:sz w:val="20"/>
              </w:rPr>
            </w:pPr>
            <w:r>
              <w:rPr>
                <w:sz w:val="20"/>
              </w:rPr>
              <w:t>時々だが、業種によっては、よい話題を聞く事もある。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美容院</w:t>
            </w:r>
          </w:p>
        </w:tc>
        <w:tc>
          <w:tcPr>
            <w:tcW w:w="5795" w:type="dxa"/>
          </w:tcPr>
          <w:p>
            <w:pPr>
              <w:pStyle w:val="TableParagraph"/>
              <w:spacing w:line="240" w:lineRule="auto" w:before="119"/>
              <w:ind w:left="36"/>
              <w:jc w:val="left"/>
              <w:rPr>
                <w:sz w:val="20"/>
              </w:rPr>
            </w:pPr>
            <w:r>
              <w:rPr>
                <w:sz w:val="20"/>
              </w:rPr>
              <w:t>冬にくらべると、夏の方がいいみたい。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7"/>
              <w:jc w:val="center"/>
              <w:rPr>
                <w:sz w:val="20"/>
              </w:rPr>
            </w:pPr>
            <w:r>
              <w:rPr>
                <w:sz w:val="20"/>
              </w:rPr>
              <w:t>パチンコ</w:t>
            </w:r>
          </w:p>
        </w:tc>
        <w:tc>
          <w:tcPr>
            <w:tcW w:w="5795" w:type="dxa"/>
          </w:tcPr>
          <w:p>
            <w:pPr>
              <w:pStyle w:val="TableParagraph"/>
              <w:spacing w:line="199" w:lineRule="auto" w:before="45"/>
              <w:ind w:left="36" w:right="108"/>
              <w:jc w:val="left"/>
              <w:rPr>
                <w:sz w:val="20"/>
              </w:rPr>
            </w:pPr>
            <w:r>
              <w:rPr>
                <w:sz w:val="20"/>
              </w:rPr>
              <w:t>若干ではあるが、お客様の反応等により判断した場合、上向き傾向にあるようだ。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県南</w:t>
            </w:r>
          </w:p>
        </w:tc>
        <w:tc>
          <w:tcPr>
            <w:tcW w:w="1173" w:type="dxa"/>
          </w:tcPr>
          <w:p>
            <w:pPr>
              <w:pStyle w:val="TableParagraph"/>
              <w:spacing w:line="240" w:lineRule="auto" w:before="119"/>
              <w:ind w:left="73" w:right="37"/>
              <w:jc w:val="center"/>
              <w:rPr>
                <w:sz w:val="20"/>
              </w:rPr>
            </w:pPr>
            <w:r>
              <w:rPr>
                <w:sz w:val="20"/>
              </w:rPr>
              <w:t>スーパー</w:t>
            </w:r>
          </w:p>
        </w:tc>
        <w:tc>
          <w:tcPr>
            <w:tcW w:w="5795" w:type="dxa"/>
          </w:tcPr>
          <w:p>
            <w:pPr>
              <w:pStyle w:val="TableParagraph"/>
              <w:spacing w:line="199" w:lineRule="auto" w:before="45"/>
              <w:ind w:left="36" w:right="108"/>
              <w:jc w:val="left"/>
              <w:rPr>
                <w:sz w:val="20"/>
              </w:rPr>
            </w:pPr>
            <w:r>
              <w:rPr>
                <w:sz w:val="20"/>
              </w:rPr>
              <w:t>株価が持ち直したこと、中東（湾岸戦争）の平和が、まがりなりにも保たれた事が良い材料に働くと思う。</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美容院</w:t>
            </w:r>
          </w:p>
        </w:tc>
        <w:tc>
          <w:tcPr>
            <w:tcW w:w="5795" w:type="dxa"/>
          </w:tcPr>
          <w:p>
            <w:pPr>
              <w:pStyle w:val="TableParagraph"/>
              <w:spacing w:line="199" w:lineRule="auto" w:before="45"/>
              <w:ind w:left="36" w:right="108"/>
              <w:jc w:val="left"/>
              <w:rPr>
                <w:sz w:val="20"/>
              </w:rPr>
            </w:pPr>
            <w:r>
              <w:rPr>
                <w:sz w:val="20"/>
              </w:rPr>
              <w:t>ボーナスが税制の関係で支給額が減少した分、消費に結びつかないのではないかなと思います。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795" w:type="dxa"/>
          </w:tcPr>
          <w:p>
            <w:pPr>
              <w:pStyle w:val="TableParagraph"/>
              <w:spacing w:line="240" w:lineRule="auto" w:before="119"/>
              <w:ind w:left="36"/>
              <w:jc w:val="left"/>
              <w:rPr>
                <w:sz w:val="20"/>
              </w:rPr>
            </w:pPr>
            <w:r>
              <w:rPr>
                <w:sz w:val="20"/>
              </w:rPr>
              <w:t>明るさが見えない。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795" w:type="dxa"/>
          </w:tcPr>
          <w:p>
            <w:pPr>
              <w:pStyle w:val="TableParagraph"/>
              <w:spacing w:line="199" w:lineRule="auto" w:before="45"/>
              <w:ind w:left="36" w:right="308"/>
              <w:jc w:val="left"/>
              <w:rPr>
                <w:sz w:val="20"/>
              </w:rPr>
            </w:pPr>
            <w:r>
              <w:rPr>
                <w:sz w:val="20"/>
              </w:rPr>
              <w:t>この状況に耐えながら対策を考えているように見受けられます。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乗用車販売</w:t>
            </w:r>
          </w:p>
        </w:tc>
        <w:tc>
          <w:tcPr>
            <w:tcW w:w="5795" w:type="dxa"/>
          </w:tcPr>
          <w:p>
            <w:pPr>
              <w:pStyle w:val="TableParagraph"/>
              <w:spacing w:line="199" w:lineRule="auto" w:before="45"/>
              <w:ind w:left="36" w:right="308"/>
              <w:jc w:val="left"/>
              <w:rPr>
                <w:sz w:val="20"/>
              </w:rPr>
            </w:pPr>
            <w:r>
              <w:rPr>
                <w:sz w:val="20"/>
              </w:rPr>
              <w:t>当店の売上、その他お客様の状況の中で変わっていないと思う。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観光名所等</w:t>
            </w:r>
          </w:p>
        </w:tc>
        <w:tc>
          <w:tcPr>
            <w:tcW w:w="5795" w:type="dxa"/>
          </w:tcPr>
          <w:p>
            <w:pPr>
              <w:pStyle w:val="TableParagraph"/>
              <w:spacing w:line="199" w:lineRule="auto" w:before="69"/>
              <w:ind w:left="36" w:right="158"/>
              <w:jc w:val="both"/>
              <w:rPr>
                <w:sz w:val="20"/>
              </w:rPr>
            </w:pPr>
            <w:r>
              <w:rPr>
                <w:spacing w:val="-3"/>
                <w:sz w:val="20"/>
              </w:rPr>
              <w:t>新幹線開通後ＪＲの駅に近いところは上がっていると思うが、青森の現状は２次交通が非常に不便なので困っているのが現状です。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795" w:type="dxa"/>
          </w:tcPr>
          <w:p>
            <w:pPr>
              <w:pStyle w:val="TableParagraph"/>
              <w:spacing w:line="199" w:lineRule="auto" w:before="45"/>
              <w:ind w:left="36" w:right="108"/>
              <w:jc w:val="left"/>
              <w:rPr>
                <w:sz w:val="20"/>
              </w:rPr>
            </w:pPr>
            <w:r>
              <w:rPr>
                <w:sz w:val="20"/>
              </w:rPr>
              <w:t>お買上単価、来店客数とも、前年を割り続けており、回復の手がかりがないまま推移した。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795" w:type="dxa"/>
          </w:tcPr>
          <w:p>
            <w:pPr>
              <w:pStyle w:val="TableParagraph"/>
              <w:spacing w:line="240" w:lineRule="auto" w:before="119"/>
              <w:ind w:left="36"/>
              <w:jc w:val="left"/>
              <w:rPr>
                <w:sz w:val="20"/>
              </w:rPr>
            </w:pPr>
            <w:r>
              <w:rPr>
                <w:sz w:val="20"/>
              </w:rPr>
              <w:t>売上げが横ばいである。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795" w:type="dxa"/>
          </w:tcPr>
          <w:p>
            <w:pPr>
              <w:pStyle w:val="TableParagraph"/>
              <w:spacing w:line="240" w:lineRule="auto" w:before="119"/>
              <w:ind w:left="36"/>
              <w:jc w:val="left"/>
              <w:rPr>
                <w:sz w:val="20"/>
              </w:rPr>
            </w:pPr>
            <w:r>
              <w:rPr>
                <w:sz w:val="20"/>
              </w:rPr>
              <w:t>地域における景況に変化が感じられない。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7"/>
              <w:jc w:val="center"/>
              <w:rPr>
                <w:sz w:val="20"/>
              </w:rPr>
            </w:pPr>
            <w:r>
              <w:rPr>
                <w:sz w:val="20"/>
              </w:rPr>
              <w:t>パチンコ</w:t>
            </w:r>
          </w:p>
        </w:tc>
        <w:tc>
          <w:tcPr>
            <w:tcW w:w="5795" w:type="dxa"/>
          </w:tcPr>
          <w:p>
            <w:pPr>
              <w:pStyle w:val="TableParagraph"/>
              <w:spacing w:line="199" w:lineRule="auto" w:before="45"/>
              <w:ind w:left="36" w:right="108"/>
              <w:jc w:val="left"/>
              <w:rPr>
                <w:sz w:val="20"/>
              </w:rPr>
            </w:pPr>
            <w:r>
              <w:rPr>
                <w:sz w:val="20"/>
              </w:rPr>
              <w:t>弊社の売上等も以前より若干下降気味。また、お客様方の話される内容も同じように以前と変化がないとの内容でした。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旅行代理店</w:t>
            </w:r>
          </w:p>
        </w:tc>
        <w:tc>
          <w:tcPr>
            <w:tcW w:w="5795" w:type="dxa"/>
          </w:tcPr>
          <w:p>
            <w:pPr>
              <w:pStyle w:val="TableParagraph"/>
              <w:spacing w:line="199" w:lineRule="auto" w:before="45"/>
              <w:ind w:left="36" w:right="108"/>
              <w:jc w:val="left"/>
              <w:rPr>
                <w:sz w:val="20"/>
              </w:rPr>
            </w:pPr>
            <w:r>
              <w:rPr>
                <w:sz w:val="20"/>
              </w:rPr>
              <w:t>全般的に消費の底上げがみられない。デスカウント、量販店への消費傾向が益々みられる。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795" w:type="dxa"/>
          </w:tcPr>
          <w:p>
            <w:pPr>
              <w:pStyle w:val="TableParagraph"/>
              <w:spacing w:line="240" w:lineRule="auto" w:before="119"/>
              <w:ind w:left="36"/>
              <w:jc w:val="left"/>
              <w:rPr>
                <w:sz w:val="20"/>
              </w:rPr>
            </w:pPr>
            <w:r>
              <w:rPr>
                <w:sz w:val="20"/>
              </w:rPr>
              <w:t>婚礼の人員縮小は続いている。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795" w:type="dxa"/>
          </w:tcPr>
          <w:p>
            <w:pPr>
              <w:pStyle w:val="TableParagraph"/>
              <w:spacing w:line="199" w:lineRule="auto" w:before="45"/>
              <w:ind w:left="36" w:right="108"/>
              <w:jc w:val="left"/>
              <w:rPr>
                <w:sz w:val="20"/>
              </w:rPr>
            </w:pPr>
            <w:r>
              <w:rPr>
                <w:sz w:val="20"/>
              </w:rPr>
              <w:t>商店街への来街者数が増加しているようには思えない。むしろ衰退傾向にあるように見受けられる。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795" w:type="dxa"/>
          </w:tcPr>
          <w:p>
            <w:pPr>
              <w:pStyle w:val="TableParagraph"/>
              <w:spacing w:line="240" w:lineRule="auto" w:before="119"/>
              <w:ind w:left="36"/>
              <w:jc w:val="left"/>
              <w:rPr>
                <w:sz w:val="20"/>
              </w:rPr>
            </w:pPr>
            <w:r>
              <w:rPr>
                <w:sz w:val="20"/>
              </w:rPr>
              <w:t>建設中の物件を見かけないから。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795" w:type="dxa"/>
          </w:tcPr>
          <w:p>
            <w:pPr>
              <w:pStyle w:val="TableParagraph"/>
              <w:spacing w:line="240" w:lineRule="auto" w:before="119"/>
              <w:ind w:left="36"/>
              <w:jc w:val="left"/>
              <w:rPr>
                <w:sz w:val="20"/>
              </w:rPr>
            </w:pPr>
            <w:r>
              <w:rPr>
                <w:sz w:val="20"/>
              </w:rPr>
              <w:t>お客様の消費動向に変化はない。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795" w:type="dxa"/>
          </w:tcPr>
          <w:p>
            <w:pPr>
              <w:pStyle w:val="TableParagraph"/>
              <w:spacing w:line="240" w:lineRule="auto" w:before="119"/>
              <w:ind w:left="36"/>
              <w:jc w:val="left"/>
              <w:rPr>
                <w:sz w:val="20"/>
              </w:rPr>
            </w:pPr>
            <w:r>
              <w:rPr>
                <w:sz w:val="20"/>
              </w:rPr>
              <w:t>旅行シーズンになっても、人の動きが見られない。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795" w:type="dxa"/>
          </w:tcPr>
          <w:p>
            <w:pPr>
              <w:pStyle w:val="TableParagraph"/>
              <w:spacing w:line="240" w:lineRule="auto" w:before="119"/>
              <w:ind w:left="36"/>
              <w:jc w:val="left"/>
              <w:rPr>
                <w:sz w:val="20"/>
              </w:rPr>
            </w:pPr>
            <w:r>
              <w:rPr>
                <w:sz w:val="20"/>
              </w:rPr>
              <w:t>消費者の不況心理により金を使わない。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旅行代理店</w:t>
            </w:r>
          </w:p>
        </w:tc>
        <w:tc>
          <w:tcPr>
            <w:tcW w:w="5795" w:type="dxa"/>
          </w:tcPr>
          <w:p>
            <w:pPr>
              <w:pStyle w:val="TableParagraph"/>
              <w:spacing w:line="199" w:lineRule="auto" w:before="69"/>
              <w:ind w:left="36" w:right="158"/>
              <w:jc w:val="both"/>
              <w:rPr>
                <w:sz w:val="20"/>
              </w:rPr>
            </w:pPr>
            <w:r>
              <w:rPr>
                <w:spacing w:val="-3"/>
                <w:sz w:val="20"/>
              </w:rPr>
              <w:t>ここのところ倒産する企業も出てきており、ボーナスカット、役員報酬の引き下げ、ゴルフ、飲食関係費の減額等、経費を更に引き締めているという経営が多い。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795" w:type="dxa"/>
          </w:tcPr>
          <w:p>
            <w:pPr>
              <w:pStyle w:val="TableParagraph"/>
              <w:spacing w:line="199" w:lineRule="auto" w:before="45"/>
              <w:ind w:left="36" w:right="108"/>
              <w:jc w:val="left"/>
              <w:rPr>
                <w:sz w:val="20"/>
              </w:rPr>
            </w:pPr>
            <w:r>
              <w:rPr>
                <w:sz w:val="20"/>
              </w:rPr>
              <w:t>これ以上悪くなる事ができない位悪いので、変わらないと答えました。（悪くなってはダメだ）</w:t>
            </w:r>
          </w:p>
        </w:tc>
      </w:tr>
    </w:tbl>
    <w:p>
      <w:pPr>
        <w:spacing w:after="0" w:line="199" w:lineRule="auto"/>
        <w:jc w:val="left"/>
        <w:rPr>
          <w:sz w:val="20"/>
        </w:rPr>
        <w:sectPr>
          <w:pgSz w:w="11900" w:h="16840"/>
          <w:pgMar w:header="0" w:footer="765" w:top="1320" w:bottom="104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40" w:right="405"/>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6"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199" w:lineRule="auto" w:before="182"/>
              <w:ind w:left="494" w:right="29" w:hanging="399"/>
              <w:jc w:val="left"/>
              <w:rPr>
                <w:sz w:val="20"/>
              </w:rPr>
            </w:pPr>
            <w:r>
              <w:rPr>
                <w:sz w:val="20"/>
              </w:rPr>
              <w:t>住宅建設販売</w:t>
            </w:r>
          </w:p>
        </w:tc>
        <w:tc>
          <w:tcPr>
            <w:tcW w:w="5795" w:type="dxa"/>
          </w:tcPr>
          <w:p>
            <w:pPr>
              <w:pStyle w:val="TableParagraph"/>
              <w:spacing w:line="199" w:lineRule="auto" w:before="69"/>
              <w:ind w:left="36" w:right="158"/>
              <w:jc w:val="both"/>
              <w:rPr>
                <w:sz w:val="20"/>
              </w:rPr>
            </w:pPr>
            <w:r>
              <w:rPr>
                <w:spacing w:val="-3"/>
                <w:sz w:val="20"/>
              </w:rPr>
              <w:t>貸家等の建設投資がやや回復基調にあるものの、経済の先行きに不安要素を抱えているため、新規投資に踏み込みにくい状況にある。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196" w:right="29" w:hanging="101"/>
              <w:jc w:val="left"/>
              <w:rPr>
                <w:sz w:val="20"/>
              </w:rPr>
            </w:pPr>
            <w:r>
              <w:rPr>
                <w:sz w:val="20"/>
              </w:rPr>
              <w:t>観光型ホテル・旅館</w:t>
            </w:r>
          </w:p>
        </w:tc>
        <w:tc>
          <w:tcPr>
            <w:tcW w:w="5795" w:type="dxa"/>
          </w:tcPr>
          <w:p>
            <w:pPr>
              <w:pStyle w:val="TableParagraph"/>
              <w:spacing w:line="199" w:lineRule="auto" w:before="93"/>
              <w:ind w:left="36" w:right="158"/>
              <w:jc w:val="both"/>
              <w:rPr>
                <w:sz w:val="20"/>
              </w:rPr>
            </w:pPr>
            <w:r>
              <w:rPr>
                <w:spacing w:val="-3"/>
                <w:sz w:val="20"/>
              </w:rPr>
              <w:t>前年対比で１２月以降売上げは増加しているが、北東北は良いが南東北は良くないと聞くと、景気が上向いているとは思わない。一過性のものかと、来年に向けての足止めの手を打つことも考えたい。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795" w:type="dxa"/>
          </w:tcPr>
          <w:p>
            <w:pPr>
              <w:pStyle w:val="TableParagraph"/>
              <w:spacing w:line="240" w:lineRule="auto" w:before="119"/>
              <w:ind w:left="36"/>
              <w:jc w:val="left"/>
              <w:rPr>
                <w:sz w:val="20"/>
              </w:rPr>
            </w:pPr>
            <w:r>
              <w:rPr>
                <w:sz w:val="20"/>
              </w:rPr>
              <w:t>景気に響く大きな要因が減少した。（イラン・サーズ問題）</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レストラン</w:t>
            </w:r>
          </w:p>
        </w:tc>
        <w:tc>
          <w:tcPr>
            <w:tcW w:w="5795" w:type="dxa"/>
          </w:tcPr>
          <w:p>
            <w:pPr>
              <w:pStyle w:val="TableParagraph"/>
              <w:spacing w:line="199" w:lineRule="auto" w:before="69"/>
              <w:ind w:left="36" w:right="158"/>
              <w:jc w:val="both"/>
              <w:rPr>
                <w:sz w:val="20"/>
              </w:rPr>
            </w:pPr>
            <w:r>
              <w:rPr>
                <w:spacing w:val="-3"/>
                <w:sz w:val="20"/>
              </w:rPr>
              <w:t>政府、日銀と経財相によるデフレ克服と金融関係の改善がないかぎり中小企業が苦しいのです。また、安株値なので銀行も大変だと思います。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795" w:type="dxa"/>
          </w:tcPr>
          <w:p>
            <w:pPr>
              <w:pStyle w:val="TableParagraph"/>
              <w:spacing w:line="240" w:lineRule="auto" w:before="119"/>
              <w:ind w:left="36"/>
              <w:jc w:val="left"/>
              <w:rPr>
                <w:sz w:val="20"/>
              </w:rPr>
            </w:pPr>
            <w:r>
              <w:rPr>
                <w:sz w:val="20"/>
              </w:rPr>
              <w:t>得意先等の会社より良い話しが聞こえてこない。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一般小売店</w:t>
            </w:r>
          </w:p>
        </w:tc>
        <w:tc>
          <w:tcPr>
            <w:tcW w:w="5795" w:type="dxa"/>
          </w:tcPr>
          <w:p>
            <w:pPr>
              <w:pStyle w:val="TableParagraph"/>
              <w:spacing w:line="199" w:lineRule="auto" w:before="69"/>
              <w:ind w:left="36" w:right="158"/>
              <w:jc w:val="both"/>
              <w:rPr>
                <w:sz w:val="20"/>
              </w:rPr>
            </w:pPr>
            <w:r>
              <w:rPr>
                <w:spacing w:val="-3"/>
                <w:sz w:val="20"/>
              </w:rPr>
              <w:t>天候不順で売上の低迷が続いており、景気だけが要因だとは考えられません。ただ、公務員のボーナス減給等で購買意欲は薄れているのでは？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795" w:type="dxa"/>
          </w:tcPr>
          <w:p>
            <w:pPr>
              <w:pStyle w:val="TableParagraph"/>
              <w:spacing w:line="240" w:lineRule="auto" w:before="119"/>
              <w:ind w:left="36"/>
              <w:jc w:val="left"/>
              <w:rPr>
                <w:sz w:val="20"/>
              </w:rPr>
            </w:pPr>
            <w:r>
              <w:rPr>
                <w:sz w:val="20"/>
              </w:rPr>
              <w:t>依然、変わらず、景気の良い話しはなし。</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タクシー</w:t>
            </w:r>
          </w:p>
        </w:tc>
        <w:tc>
          <w:tcPr>
            <w:tcW w:w="5795" w:type="dxa"/>
          </w:tcPr>
          <w:p>
            <w:pPr>
              <w:pStyle w:val="TableParagraph"/>
              <w:spacing w:line="199" w:lineRule="auto" w:before="93"/>
              <w:ind w:left="36" w:right="158"/>
              <w:jc w:val="both"/>
              <w:rPr>
                <w:sz w:val="20"/>
              </w:rPr>
            </w:pPr>
            <w:r>
              <w:rPr>
                <w:spacing w:val="-3"/>
                <w:sz w:val="20"/>
              </w:rPr>
              <w:t>観光客は６月の天気の良さもあってか、少しずつではあるが、個人（２～３人）客がいつもより多かったような気がします。しかし、赤字行政の市内は、昼も夜も乗降客は大変少なく、きびしい！！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795" w:type="dxa"/>
          </w:tcPr>
          <w:p>
            <w:pPr>
              <w:pStyle w:val="TableParagraph"/>
              <w:spacing w:line="240" w:lineRule="auto" w:before="119"/>
              <w:ind w:left="36"/>
              <w:jc w:val="left"/>
              <w:rPr>
                <w:sz w:val="20"/>
              </w:rPr>
            </w:pPr>
            <w:r>
              <w:rPr>
                <w:sz w:val="20"/>
              </w:rPr>
              <w:t>建設業が良くない。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294" w:right="59" w:hanging="200"/>
              <w:jc w:val="left"/>
              <w:rPr>
                <w:sz w:val="20"/>
              </w:rPr>
            </w:pPr>
            <w:r>
              <w:rPr>
                <w:sz w:val="20"/>
              </w:rPr>
              <w:t>ガソリンスタンド</w:t>
            </w:r>
          </w:p>
        </w:tc>
        <w:tc>
          <w:tcPr>
            <w:tcW w:w="5795" w:type="dxa"/>
          </w:tcPr>
          <w:p>
            <w:pPr>
              <w:pStyle w:val="TableParagraph"/>
              <w:spacing w:line="199" w:lineRule="auto" w:before="69"/>
              <w:ind w:left="36" w:right="158"/>
              <w:jc w:val="both"/>
              <w:rPr>
                <w:sz w:val="20"/>
              </w:rPr>
            </w:pPr>
            <w:r>
              <w:rPr>
                <w:spacing w:val="-3"/>
                <w:sz w:val="20"/>
              </w:rPr>
              <w:t>建設業２社の倒産後、その関連会社、左官業とか下請業者の倒産もあり、また、新年度に入って３カ月過ぎても公共事業発注なく、大手建設では失業させているようです。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企業</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食料品製造</w:t>
            </w:r>
          </w:p>
        </w:tc>
        <w:tc>
          <w:tcPr>
            <w:tcW w:w="5795" w:type="dxa"/>
          </w:tcPr>
          <w:p>
            <w:pPr>
              <w:pStyle w:val="TableParagraph"/>
              <w:spacing w:line="240" w:lineRule="auto" w:before="119"/>
              <w:ind w:left="36"/>
              <w:jc w:val="left"/>
              <w:rPr>
                <w:sz w:val="20"/>
              </w:rPr>
            </w:pPr>
            <w:r>
              <w:rPr>
                <w:sz w:val="20"/>
              </w:rPr>
              <w:t>特に変化材料が見あたらない。</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36"/>
              </w:rPr>
            </w:pPr>
          </w:p>
          <w:p>
            <w:pPr>
              <w:pStyle w:val="TableParagraph"/>
              <w:spacing w:line="240" w:lineRule="auto"/>
              <w:ind w:left="73" w:right="36"/>
              <w:jc w:val="center"/>
              <w:rPr>
                <w:sz w:val="20"/>
              </w:rPr>
            </w:pPr>
            <w:r>
              <w:rPr>
                <w:sz w:val="20"/>
              </w:rPr>
              <w:t>建設</w:t>
            </w:r>
          </w:p>
        </w:tc>
        <w:tc>
          <w:tcPr>
            <w:tcW w:w="5795" w:type="dxa"/>
          </w:tcPr>
          <w:p>
            <w:pPr>
              <w:pStyle w:val="TableParagraph"/>
              <w:spacing w:line="199" w:lineRule="auto" w:before="83"/>
              <w:ind w:left="36" w:right="158"/>
              <w:jc w:val="both"/>
              <w:rPr>
                <w:sz w:val="20"/>
              </w:rPr>
            </w:pPr>
            <w:r>
              <w:rPr>
                <w:spacing w:val="-3"/>
                <w:sz w:val="20"/>
              </w:rPr>
              <w:t>不況といわれて久しいが、これは経済構造の変化に起因するもので、景気波動によるものとは異なると見るべきである。故に</w:t>
            </w:r>
          </w:p>
          <w:p>
            <w:pPr>
              <w:pStyle w:val="TableParagraph"/>
              <w:spacing w:line="199" w:lineRule="auto" w:before="2"/>
              <w:ind w:left="36" w:right="158"/>
              <w:jc w:val="both"/>
              <w:rPr>
                <w:sz w:val="20"/>
              </w:rPr>
            </w:pPr>
            <w:r>
              <w:rPr>
                <w:spacing w:val="-3"/>
                <w:sz w:val="20"/>
              </w:rPr>
              <w:t>「数年で回復する」とか「かつての状況を取戻す」ということはあり得ない。即ち、「現状こそ常態」なのであり、当分の間は大変動はないと考えている。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jc w:val="left"/>
              <w:rPr>
                <w:sz w:val="20"/>
              </w:rPr>
            </w:pPr>
            <w:r>
              <w:rPr>
                <w:sz w:val="20"/>
              </w:rPr>
              <w:t>経営コンサルタント</w:t>
            </w:r>
          </w:p>
        </w:tc>
        <w:tc>
          <w:tcPr>
            <w:tcW w:w="5795" w:type="dxa"/>
          </w:tcPr>
          <w:p>
            <w:pPr>
              <w:pStyle w:val="TableParagraph"/>
              <w:spacing w:line="199" w:lineRule="auto" w:before="69"/>
              <w:ind w:left="36" w:right="158"/>
              <w:jc w:val="both"/>
              <w:rPr>
                <w:sz w:val="20"/>
              </w:rPr>
            </w:pPr>
            <w:r>
              <w:rPr>
                <w:spacing w:val="-3"/>
                <w:sz w:val="20"/>
              </w:rPr>
              <w:t>販売不振や受注不振による不況型倒産が、県内でも増加傾向。デフレ不況が深刻化しており、企業収益の低下および資金繰りの悪化している企業が目立ってきている。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199" w:lineRule="auto" w:before="45"/>
              <w:ind w:left="494" w:right="29" w:hanging="399"/>
              <w:jc w:val="left"/>
              <w:rPr>
                <w:sz w:val="20"/>
              </w:rPr>
            </w:pPr>
            <w:r>
              <w:rPr>
                <w:sz w:val="20"/>
              </w:rPr>
              <w:t>電気機械製造</w:t>
            </w:r>
          </w:p>
        </w:tc>
        <w:tc>
          <w:tcPr>
            <w:tcW w:w="5795" w:type="dxa"/>
          </w:tcPr>
          <w:p>
            <w:pPr>
              <w:pStyle w:val="TableParagraph"/>
              <w:spacing w:line="199" w:lineRule="auto" w:before="45"/>
              <w:ind w:left="36" w:right="108"/>
              <w:jc w:val="left"/>
              <w:rPr>
                <w:sz w:val="20"/>
              </w:rPr>
            </w:pPr>
            <w:r>
              <w:rPr>
                <w:sz w:val="20"/>
              </w:rPr>
              <w:t>これ以上悪くなる要因も見あたらないが、良くなる要因もないため。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795" w:type="dxa"/>
          </w:tcPr>
          <w:p>
            <w:pPr>
              <w:pStyle w:val="TableParagraph"/>
              <w:spacing w:line="240" w:lineRule="auto" w:before="119"/>
              <w:ind w:left="36"/>
              <w:jc w:val="left"/>
              <w:rPr>
                <w:sz w:val="20"/>
              </w:rPr>
            </w:pPr>
            <w:r>
              <w:rPr>
                <w:sz w:val="20"/>
              </w:rPr>
              <w:t>売掛金の回収が悪い。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795" w:type="dxa"/>
          </w:tcPr>
          <w:p>
            <w:pPr>
              <w:pStyle w:val="TableParagraph"/>
              <w:spacing w:line="199" w:lineRule="auto" w:before="45"/>
              <w:ind w:left="36" w:right="13"/>
              <w:jc w:val="left"/>
              <w:rPr>
                <w:sz w:val="20"/>
              </w:rPr>
            </w:pPr>
            <w:r>
              <w:rPr>
                <w:sz w:val="20"/>
              </w:rPr>
              <w:t>3月決算を申告し、私の関与先の黒字割合が、昨年とだいたい同じ。</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飲料品製造</w:t>
            </w:r>
          </w:p>
        </w:tc>
        <w:tc>
          <w:tcPr>
            <w:tcW w:w="5795" w:type="dxa"/>
          </w:tcPr>
          <w:p>
            <w:pPr>
              <w:pStyle w:val="TableParagraph"/>
              <w:spacing w:line="199" w:lineRule="auto" w:before="45"/>
              <w:ind w:left="36" w:right="108"/>
              <w:jc w:val="left"/>
              <w:rPr>
                <w:sz w:val="20"/>
              </w:rPr>
            </w:pPr>
            <w:r>
              <w:rPr>
                <w:sz w:val="20"/>
              </w:rPr>
              <w:t>良くもなっていないが、悪くもなっていない。底入れの状態にあると思います。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494" w:right="29" w:hanging="399"/>
              <w:jc w:val="left"/>
              <w:rPr>
                <w:sz w:val="20"/>
              </w:rPr>
            </w:pPr>
            <w:r>
              <w:rPr>
                <w:sz w:val="20"/>
              </w:rPr>
              <w:t>電気機械製造</w:t>
            </w:r>
          </w:p>
        </w:tc>
        <w:tc>
          <w:tcPr>
            <w:tcW w:w="5795" w:type="dxa"/>
          </w:tcPr>
          <w:p>
            <w:pPr>
              <w:pStyle w:val="TableParagraph"/>
              <w:spacing w:line="199" w:lineRule="auto" w:before="93"/>
              <w:ind w:left="36" w:right="158"/>
              <w:jc w:val="both"/>
              <w:rPr>
                <w:sz w:val="20"/>
              </w:rPr>
            </w:pPr>
            <w:r>
              <w:rPr>
                <w:spacing w:val="-3"/>
                <w:sz w:val="20"/>
              </w:rPr>
              <w:t>受注が無くはないのだが、一時的なものばかりで先行き不透明である。受注減なら減ということで、はっきりしてもらえると方針も立てられるのだが。誰も考えようとも動こうとしない。せめて自社だけでも行動しようと思っている。</w:t>
            </w:r>
          </w:p>
        </w:tc>
      </w:tr>
    </w:tbl>
    <w:p>
      <w:pPr>
        <w:spacing w:after="0" w:line="199" w:lineRule="auto"/>
        <w:jc w:val="both"/>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40" w:right="405"/>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企業</w:t>
            </w: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199" w:lineRule="auto" w:before="45"/>
              <w:ind w:left="395" w:right="29" w:hanging="300"/>
              <w:jc w:val="left"/>
              <w:rPr>
                <w:sz w:val="20"/>
              </w:rPr>
            </w:pPr>
            <w:r>
              <w:rPr>
                <w:sz w:val="20"/>
              </w:rPr>
              <w:t>広告・デザイン</w:t>
            </w:r>
          </w:p>
        </w:tc>
        <w:tc>
          <w:tcPr>
            <w:tcW w:w="5795" w:type="dxa"/>
          </w:tcPr>
          <w:p>
            <w:pPr>
              <w:pStyle w:val="TableParagraph"/>
              <w:spacing w:line="199" w:lineRule="auto" w:before="45"/>
              <w:ind w:left="36" w:right="108"/>
              <w:jc w:val="left"/>
              <w:rPr>
                <w:sz w:val="20"/>
              </w:rPr>
            </w:pPr>
            <w:r>
              <w:rPr>
                <w:sz w:val="20"/>
              </w:rPr>
              <w:t>基本的に悪い状況が続いているということ。取引先も、価格面でかなりシビアになっている。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建設</w:t>
            </w:r>
          </w:p>
        </w:tc>
        <w:tc>
          <w:tcPr>
            <w:tcW w:w="5795" w:type="dxa"/>
          </w:tcPr>
          <w:p>
            <w:pPr>
              <w:pStyle w:val="TableParagraph"/>
              <w:spacing w:line="199" w:lineRule="auto" w:before="69"/>
              <w:ind w:left="36" w:right="158"/>
              <w:jc w:val="both"/>
              <w:rPr>
                <w:sz w:val="20"/>
              </w:rPr>
            </w:pPr>
            <w:r>
              <w:rPr>
                <w:spacing w:val="-3"/>
                <w:sz w:val="20"/>
              </w:rPr>
              <w:t>公共工事発注の大幅減続いており、民間設備投資も期待できないことから、各社とも受注確保が最大の課題となっている状況にある。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795" w:type="dxa"/>
          </w:tcPr>
          <w:p>
            <w:pPr>
              <w:pStyle w:val="TableParagraph"/>
              <w:spacing w:line="199" w:lineRule="auto" w:before="45"/>
              <w:ind w:left="36" w:right="108"/>
              <w:jc w:val="left"/>
              <w:rPr>
                <w:sz w:val="20"/>
              </w:rPr>
            </w:pPr>
            <w:r>
              <w:rPr>
                <w:sz w:val="20"/>
              </w:rPr>
              <w:t>雇用、賃金、生産など殆ど変わらない状況だから。ただ、リストラ、解雇など減少してきている。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飲料品製造</w:t>
            </w:r>
          </w:p>
        </w:tc>
        <w:tc>
          <w:tcPr>
            <w:tcW w:w="5795" w:type="dxa"/>
          </w:tcPr>
          <w:p>
            <w:pPr>
              <w:pStyle w:val="TableParagraph"/>
              <w:spacing w:line="199" w:lineRule="auto" w:before="45"/>
              <w:ind w:left="36" w:right="108"/>
              <w:jc w:val="left"/>
              <w:rPr>
                <w:sz w:val="20"/>
              </w:rPr>
            </w:pPr>
            <w:r>
              <w:rPr>
                <w:sz w:val="20"/>
              </w:rPr>
              <w:t>発泡酒増税後も、増税分を価格に転嫁しない豪胆な業者もあって、流通の利益改善には程遠い状況です。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食料品製造</w:t>
            </w:r>
          </w:p>
        </w:tc>
        <w:tc>
          <w:tcPr>
            <w:tcW w:w="5795" w:type="dxa"/>
          </w:tcPr>
          <w:p>
            <w:pPr>
              <w:pStyle w:val="TableParagraph"/>
              <w:spacing w:line="199" w:lineRule="auto" w:before="45"/>
              <w:ind w:left="36" w:right="108"/>
              <w:jc w:val="left"/>
              <w:rPr>
                <w:sz w:val="20"/>
              </w:rPr>
            </w:pPr>
            <w:r>
              <w:rPr>
                <w:sz w:val="20"/>
              </w:rPr>
              <w:t>良くなっていると思える点と、そうでない点とある。平均すると変わらない。</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雇用</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人材派遣</w:t>
            </w:r>
          </w:p>
        </w:tc>
        <w:tc>
          <w:tcPr>
            <w:tcW w:w="5795" w:type="dxa"/>
          </w:tcPr>
          <w:p>
            <w:pPr>
              <w:pStyle w:val="TableParagraph"/>
              <w:spacing w:line="199" w:lineRule="auto" w:before="69"/>
              <w:ind w:left="36" w:right="158"/>
              <w:jc w:val="both"/>
              <w:rPr>
                <w:sz w:val="20"/>
              </w:rPr>
            </w:pPr>
            <w:r>
              <w:rPr>
                <w:spacing w:val="-3"/>
                <w:sz w:val="20"/>
              </w:rPr>
              <w:t>派遣社員数は、３月末に比べ十数名減少している。一方、向こう３カ月に派遣予定が十数名見込まれており、総体としては横ばい状況にあるといえる。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人材派遣</w:t>
            </w:r>
          </w:p>
        </w:tc>
        <w:tc>
          <w:tcPr>
            <w:tcW w:w="5795" w:type="dxa"/>
          </w:tcPr>
          <w:p>
            <w:pPr>
              <w:pStyle w:val="TableParagraph"/>
              <w:spacing w:line="199" w:lineRule="auto" w:before="69"/>
              <w:ind w:left="36" w:right="158"/>
              <w:jc w:val="left"/>
              <w:rPr>
                <w:sz w:val="20"/>
              </w:rPr>
            </w:pPr>
            <w:r>
              <w:rPr>
                <w:spacing w:val="-3"/>
                <w:sz w:val="20"/>
              </w:rPr>
              <w:t>民営有料職業紹介所を経営しておりますが、企業等を訪問しても雇用を手控えているところが相変わらず多いような気がす  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jc w:val="left"/>
              <w:rPr>
                <w:sz w:val="20"/>
              </w:rPr>
            </w:pPr>
            <w:r>
              <w:rPr>
                <w:sz w:val="20"/>
              </w:rPr>
              <w:t>新聞社求人広告</w:t>
            </w:r>
          </w:p>
        </w:tc>
        <w:tc>
          <w:tcPr>
            <w:tcW w:w="5795" w:type="dxa"/>
          </w:tcPr>
          <w:p>
            <w:pPr>
              <w:pStyle w:val="TableParagraph"/>
              <w:spacing w:line="199" w:lineRule="auto" w:before="69"/>
              <w:ind w:left="36" w:right="158"/>
              <w:jc w:val="both"/>
              <w:rPr>
                <w:sz w:val="20"/>
              </w:rPr>
            </w:pPr>
            <w:r>
              <w:rPr>
                <w:spacing w:val="-3"/>
                <w:sz w:val="20"/>
              </w:rPr>
              <w:t>各企業の業績が伸びておらず、前向きに宣伝費（広告チラシ） をかけるといった姿勢が見えない。逆に、経費の切り詰めが目立ち、防衛が前面に出ている傾向は変わらない。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6"/>
              <w:jc w:val="center"/>
              <w:rPr>
                <w:sz w:val="20"/>
              </w:rPr>
            </w:pPr>
            <w:r>
              <w:rPr>
                <w:sz w:val="20"/>
              </w:rPr>
              <w:t>人材派遣</w:t>
            </w:r>
          </w:p>
        </w:tc>
        <w:tc>
          <w:tcPr>
            <w:tcW w:w="5795" w:type="dxa"/>
          </w:tcPr>
          <w:p>
            <w:pPr>
              <w:pStyle w:val="TableParagraph"/>
              <w:spacing w:line="199" w:lineRule="auto" w:before="45"/>
              <w:ind w:left="36" w:right="108"/>
              <w:jc w:val="left"/>
              <w:rPr>
                <w:sz w:val="20"/>
              </w:rPr>
            </w:pPr>
            <w:r>
              <w:rPr>
                <w:sz w:val="20"/>
              </w:rPr>
              <w:t>派遣登録者の数は増えているが、企業からの求人は増えていない。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新聞社求人広告</w:t>
            </w:r>
          </w:p>
        </w:tc>
        <w:tc>
          <w:tcPr>
            <w:tcW w:w="5795" w:type="dxa"/>
          </w:tcPr>
          <w:p>
            <w:pPr>
              <w:pStyle w:val="TableParagraph"/>
              <w:spacing w:line="199" w:lineRule="auto" w:before="45"/>
              <w:ind w:left="36" w:right="108"/>
              <w:jc w:val="left"/>
              <w:rPr>
                <w:sz w:val="20"/>
              </w:rPr>
            </w:pPr>
            <w:r>
              <w:rPr>
                <w:sz w:val="20"/>
              </w:rPr>
              <w:t>雇用状況の改善は見られず、求人広告は最低水準のまま。営業広告も前年割れのまま。</w:t>
            </w:r>
          </w:p>
        </w:tc>
      </w:tr>
      <w:tr>
        <w:trPr>
          <w:trHeight w:val="522"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競輪場</w:t>
            </w:r>
          </w:p>
        </w:tc>
        <w:tc>
          <w:tcPr>
            <w:tcW w:w="5795" w:type="dxa"/>
          </w:tcPr>
          <w:p>
            <w:pPr>
              <w:pStyle w:val="TableParagraph"/>
              <w:spacing w:line="240" w:lineRule="auto" w:before="119"/>
              <w:ind w:left="36"/>
              <w:jc w:val="left"/>
              <w:rPr>
                <w:sz w:val="20"/>
              </w:rPr>
            </w:pPr>
            <w:r>
              <w:rPr>
                <w:sz w:val="20"/>
              </w:rPr>
              <w:t>車券売上が減少している。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795" w:type="dxa"/>
          </w:tcPr>
          <w:p>
            <w:pPr>
              <w:pStyle w:val="TableParagraph"/>
              <w:spacing w:line="199" w:lineRule="auto" w:before="45"/>
              <w:ind w:left="36" w:right="308"/>
              <w:jc w:val="left"/>
              <w:rPr>
                <w:sz w:val="20"/>
              </w:rPr>
            </w:pPr>
            <w:r>
              <w:rPr>
                <w:sz w:val="20"/>
              </w:rPr>
              <w:t>１２月～６月まで上向きだったのに対して、７月は横ばいになっている。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レストラン</w:t>
            </w:r>
          </w:p>
        </w:tc>
        <w:tc>
          <w:tcPr>
            <w:tcW w:w="5795" w:type="dxa"/>
          </w:tcPr>
          <w:p>
            <w:pPr>
              <w:pStyle w:val="TableParagraph"/>
              <w:spacing w:line="199" w:lineRule="auto" w:before="69"/>
              <w:ind w:left="36" w:right="158"/>
              <w:jc w:val="left"/>
              <w:rPr>
                <w:sz w:val="20"/>
              </w:rPr>
            </w:pPr>
            <w:r>
              <w:rPr>
                <w:spacing w:val="-3"/>
                <w:sz w:val="20"/>
              </w:rPr>
              <w:t>ジャンルを問わず、全体的に、みんな悪いと思うし、年々、  ジャンルを問わずに、新しいお店ができるが、みんな今一つだと聞く。</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コンビニ</w:t>
            </w:r>
          </w:p>
        </w:tc>
        <w:tc>
          <w:tcPr>
            <w:tcW w:w="5795" w:type="dxa"/>
          </w:tcPr>
          <w:p>
            <w:pPr>
              <w:pStyle w:val="TableParagraph"/>
              <w:spacing w:line="199" w:lineRule="auto" w:before="93"/>
              <w:ind w:left="36" w:right="158"/>
              <w:jc w:val="both"/>
              <w:rPr>
                <w:sz w:val="20"/>
              </w:rPr>
            </w:pPr>
            <w:r>
              <w:rPr>
                <w:spacing w:val="-3"/>
                <w:sz w:val="20"/>
              </w:rPr>
              <w:t>今年は昨年以上に寒く、当店の売上げも、また昨対を割っております。「今日はあついね」という声は聞こえません。冷夏になりそう？という心配も重なってかサイフのひもは一段と引き締まっています。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設計事務所</w:t>
            </w:r>
          </w:p>
        </w:tc>
        <w:tc>
          <w:tcPr>
            <w:tcW w:w="5795" w:type="dxa"/>
          </w:tcPr>
          <w:p>
            <w:pPr>
              <w:pStyle w:val="TableParagraph"/>
              <w:spacing w:line="199" w:lineRule="auto" w:before="69"/>
              <w:ind w:left="36" w:right="158"/>
              <w:jc w:val="left"/>
              <w:rPr>
                <w:sz w:val="20"/>
              </w:rPr>
            </w:pPr>
            <w:r>
              <w:rPr>
                <w:spacing w:val="-3"/>
                <w:sz w:val="20"/>
              </w:rPr>
              <w:t>選挙年は、毎回、仕事量が少ないとされているのに、半年の間に２回も行われると、県発注の仕事量が少なくなると思われ  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家電量販店</w:t>
            </w:r>
          </w:p>
        </w:tc>
        <w:tc>
          <w:tcPr>
            <w:tcW w:w="5795" w:type="dxa"/>
          </w:tcPr>
          <w:p>
            <w:pPr>
              <w:pStyle w:val="TableParagraph"/>
              <w:spacing w:line="199" w:lineRule="auto" w:before="93"/>
              <w:ind w:left="36" w:right="158"/>
              <w:jc w:val="both"/>
              <w:rPr>
                <w:sz w:val="20"/>
              </w:rPr>
            </w:pPr>
            <w:r>
              <w:rPr>
                <w:spacing w:val="-3"/>
                <w:sz w:val="20"/>
              </w:rPr>
              <w:t>月を追うごとに、客数、売上共に悪い方向に向かっている。今まで売れていた商品にも陰りがでてきている。ただし、プラズマテレビの販売は、イベント等の実施によりコンスタントに販売ができている。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795" w:type="dxa"/>
          </w:tcPr>
          <w:p>
            <w:pPr>
              <w:pStyle w:val="TableParagraph"/>
              <w:spacing w:line="199" w:lineRule="auto" w:before="93"/>
              <w:ind w:left="36" w:right="158"/>
              <w:jc w:val="both"/>
              <w:rPr>
                <w:sz w:val="20"/>
              </w:rPr>
            </w:pPr>
            <w:r>
              <w:rPr>
                <w:spacing w:val="-3"/>
                <w:sz w:val="20"/>
              </w:rPr>
              <w:t>６月頃に公務員（教師や看護婦さんも含む）さん達がボーナスが少なくなるのではと心配し、買い控えしていた。民間にお勤めの方達もボーナスが出なくなるか少なくなることを心配していたため。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795" w:type="dxa"/>
          </w:tcPr>
          <w:p>
            <w:pPr>
              <w:pStyle w:val="TableParagraph"/>
              <w:spacing w:line="199" w:lineRule="auto" w:before="45"/>
              <w:ind w:left="36" w:right="108"/>
              <w:jc w:val="left"/>
              <w:rPr>
                <w:sz w:val="20"/>
              </w:rPr>
            </w:pPr>
            <w:r>
              <w:rPr>
                <w:sz w:val="20"/>
              </w:rPr>
              <w:t>消費せずに貯蓄に皆さん回している。ボーナスの減。出生率の低下による年金の不安による貯蓄。失業者の増。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795" w:type="dxa"/>
          </w:tcPr>
          <w:p>
            <w:pPr>
              <w:pStyle w:val="TableParagraph"/>
              <w:spacing w:line="240" w:lineRule="auto" w:before="119"/>
              <w:ind w:left="36"/>
              <w:jc w:val="left"/>
              <w:rPr>
                <w:sz w:val="20"/>
              </w:rPr>
            </w:pPr>
            <w:r>
              <w:rPr>
                <w:sz w:val="20"/>
              </w:rPr>
              <w:t>景気が悪くて昔からのお店（スナック）がつぶれている。</w:t>
            </w:r>
          </w:p>
        </w:tc>
      </w:tr>
    </w:tbl>
    <w:p>
      <w:pPr>
        <w:spacing w:after="0" w:line="240" w:lineRule="auto"/>
        <w:jc w:val="left"/>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40" w:right="405"/>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42"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客単価の低下。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795" w:type="dxa"/>
          </w:tcPr>
          <w:p>
            <w:pPr>
              <w:pStyle w:val="TableParagraph"/>
              <w:spacing w:line="199" w:lineRule="auto" w:before="45"/>
              <w:ind w:left="36" w:right="108"/>
              <w:jc w:val="left"/>
              <w:rPr>
                <w:sz w:val="20"/>
              </w:rPr>
            </w:pPr>
            <w:r>
              <w:rPr>
                <w:sz w:val="20"/>
              </w:rPr>
              <w:t>夏季賞与に対して、社会保険料、厚生年金の負担が上がり、手取りが少なくなった。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百貨店</w:t>
            </w:r>
          </w:p>
        </w:tc>
        <w:tc>
          <w:tcPr>
            <w:tcW w:w="5795" w:type="dxa"/>
          </w:tcPr>
          <w:p>
            <w:pPr>
              <w:pStyle w:val="TableParagraph"/>
              <w:spacing w:line="240" w:lineRule="auto" w:before="119"/>
              <w:ind w:left="36"/>
              <w:jc w:val="left"/>
              <w:rPr>
                <w:sz w:val="20"/>
              </w:rPr>
            </w:pPr>
            <w:r>
              <w:rPr>
                <w:sz w:val="20"/>
              </w:rPr>
              <w:t>実需期がくるまで（ぎりぎりまで）買わない。単価が低い。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乗用車販売</w:t>
            </w:r>
          </w:p>
        </w:tc>
        <w:tc>
          <w:tcPr>
            <w:tcW w:w="5795" w:type="dxa"/>
          </w:tcPr>
          <w:p>
            <w:pPr>
              <w:pStyle w:val="TableParagraph"/>
              <w:spacing w:line="199" w:lineRule="auto" w:before="69"/>
              <w:ind w:left="36" w:right="158"/>
              <w:jc w:val="left"/>
              <w:rPr>
                <w:sz w:val="20"/>
              </w:rPr>
            </w:pPr>
            <w:r>
              <w:rPr>
                <w:spacing w:val="-3"/>
                <w:sz w:val="20"/>
              </w:rPr>
              <w:t>高卒の求人が皆無に等しい状況が報道されていたが、企業側からすると、雇用を増やす余裕が無いという事の表れではない  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795" w:type="dxa"/>
          </w:tcPr>
          <w:p>
            <w:pPr>
              <w:pStyle w:val="TableParagraph"/>
              <w:spacing w:line="199" w:lineRule="auto" w:before="45"/>
              <w:ind w:left="36" w:right="108"/>
              <w:jc w:val="left"/>
              <w:rPr>
                <w:sz w:val="20"/>
              </w:rPr>
            </w:pPr>
            <w:r>
              <w:rPr>
                <w:sz w:val="20"/>
              </w:rPr>
              <w:t>長引く不況と政府の景気対策に有効な手段が見られず、地域経済は疲弊してしまっている。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795" w:type="dxa"/>
          </w:tcPr>
          <w:p>
            <w:pPr>
              <w:pStyle w:val="TableParagraph"/>
              <w:spacing w:line="199" w:lineRule="auto" w:before="45"/>
              <w:ind w:left="36" w:right="108"/>
              <w:jc w:val="left"/>
              <w:rPr>
                <w:sz w:val="20"/>
              </w:rPr>
            </w:pPr>
            <w:r>
              <w:rPr>
                <w:sz w:val="20"/>
              </w:rPr>
              <w:t>ボーナスシーズンをむかえている訳ですが、前年に比べ、ボーナス払い等が低下している為。</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卸売業</w:t>
            </w:r>
          </w:p>
        </w:tc>
        <w:tc>
          <w:tcPr>
            <w:tcW w:w="5795" w:type="dxa"/>
          </w:tcPr>
          <w:p>
            <w:pPr>
              <w:pStyle w:val="TableParagraph"/>
              <w:spacing w:line="199" w:lineRule="auto" w:before="69"/>
              <w:ind w:left="36" w:right="158"/>
              <w:jc w:val="left"/>
              <w:rPr>
                <w:sz w:val="20"/>
              </w:rPr>
            </w:pPr>
            <w:r>
              <w:rPr>
                <w:spacing w:val="-3"/>
                <w:sz w:val="20"/>
              </w:rPr>
              <w:t>大型倒産、リストラによる失業等、暗いニュースが多い。ま  た、天候状態（ヤマセ）も悪く、温度が上がらず、これから夏場を迎えるが、明るさが感じられない。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5795" w:type="dxa"/>
          </w:tcPr>
          <w:p>
            <w:pPr>
              <w:pStyle w:val="TableParagraph"/>
              <w:spacing w:line="199" w:lineRule="auto" w:before="69"/>
              <w:ind w:left="36" w:right="26"/>
              <w:jc w:val="left"/>
              <w:rPr>
                <w:sz w:val="20"/>
              </w:rPr>
            </w:pPr>
            <w:r>
              <w:rPr>
                <w:sz w:val="20"/>
              </w:rPr>
              <w:t>良いニュースが全然ない。そのため、不景気感が消費を抑えている。当店においても、４・5月横ばい。６月５％ダウンと心配要因が多い。天気も低温で動きが鈍い。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795" w:type="dxa"/>
          </w:tcPr>
          <w:p>
            <w:pPr>
              <w:pStyle w:val="TableParagraph"/>
              <w:spacing w:line="199" w:lineRule="auto" w:before="45"/>
              <w:ind w:left="36" w:right="108"/>
              <w:jc w:val="left"/>
              <w:rPr>
                <w:sz w:val="20"/>
              </w:rPr>
            </w:pPr>
            <w:r>
              <w:rPr>
                <w:sz w:val="20"/>
              </w:rPr>
              <w:t>夏期ボーナスの減額、たばこの値上等、景気の良い話しが聞こえて来ない！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795" w:type="dxa"/>
          </w:tcPr>
          <w:p>
            <w:pPr>
              <w:pStyle w:val="TableParagraph"/>
              <w:spacing w:line="240" w:lineRule="auto" w:before="119"/>
              <w:ind w:left="36"/>
              <w:jc w:val="left"/>
              <w:rPr>
                <w:sz w:val="20"/>
              </w:rPr>
            </w:pPr>
            <w:r>
              <w:rPr>
                <w:sz w:val="20"/>
              </w:rPr>
              <w:t>建設関係が、特に仕事が少ないようだ。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下北</w:t>
            </w:r>
          </w:p>
        </w:tc>
        <w:tc>
          <w:tcPr>
            <w:tcW w:w="1173" w:type="dxa"/>
          </w:tcPr>
          <w:p>
            <w:pPr>
              <w:pStyle w:val="TableParagraph"/>
              <w:spacing w:line="199" w:lineRule="auto" w:before="45"/>
              <w:ind w:left="494" w:right="29" w:hanging="399"/>
              <w:jc w:val="left"/>
              <w:rPr>
                <w:sz w:val="20"/>
              </w:rPr>
            </w:pPr>
            <w:r>
              <w:rPr>
                <w:sz w:val="20"/>
              </w:rPr>
              <w:t>都市型ホテル</w:t>
            </w:r>
          </w:p>
        </w:tc>
        <w:tc>
          <w:tcPr>
            <w:tcW w:w="5795" w:type="dxa"/>
          </w:tcPr>
          <w:p>
            <w:pPr>
              <w:pStyle w:val="TableParagraph"/>
              <w:spacing w:line="199" w:lineRule="auto" w:before="45"/>
              <w:ind w:left="36" w:right="108"/>
              <w:jc w:val="left"/>
              <w:rPr>
                <w:sz w:val="20"/>
              </w:rPr>
            </w:pPr>
            <w:r>
              <w:rPr>
                <w:sz w:val="20"/>
              </w:rPr>
              <w:t>宴会での単価が下がっている。宴会（納涼パーティー）等の開催を今年度見送っているケースがある。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企業</w:t>
            </w:r>
          </w:p>
        </w:tc>
        <w:tc>
          <w:tcPr>
            <w:tcW w:w="511" w:type="dxa"/>
          </w:tcPr>
          <w:p>
            <w:pPr>
              <w:pStyle w:val="TableParagraph"/>
              <w:ind w:left="64"/>
              <w:jc w:val="left"/>
              <w:rPr>
                <w:sz w:val="20"/>
              </w:rPr>
            </w:pPr>
            <w:r>
              <w:rPr>
                <w:sz w:val="20"/>
              </w:rPr>
              <w:t>津軽</w:t>
            </w:r>
          </w:p>
        </w:tc>
        <w:tc>
          <w:tcPr>
            <w:tcW w:w="1173" w:type="dxa"/>
          </w:tcPr>
          <w:p>
            <w:pPr>
              <w:pStyle w:val="TableParagraph"/>
              <w:spacing w:line="199" w:lineRule="auto" w:before="45"/>
              <w:ind w:left="395" w:right="29" w:hanging="300"/>
              <w:jc w:val="left"/>
              <w:rPr>
                <w:sz w:val="20"/>
              </w:rPr>
            </w:pPr>
            <w:r>
              <w:rPr>
                <w:sz w:val="20"/>
              </w:rPr>
              <w:t>広告・デザイン</w:t>
            </w:r>
          </w:p>
        </w:tc>
        <w:tc>
          <w:tcPr>
            <w:tcW w:w="5795" w:type="dxa"/>
          </w:tcPr>
          <w:p>
            <w:pPr>
              <w:pStyle w:val="TableParagraph"/>
              <w:spacing w:line="199" w:lineRule="auto" w:before="45"/>
              <w:ind w:left="36" w:right="108"/>
              <w:jc w:val="left"/>
              <w:rPr>
                <w:sz w:val="20"/>
              </w:rPr>
            </w:pPr>
            <w:r>
              <w:rPr>
                <w:sz w:val="20"/>
              </w:rPr>
              <w:t>知事辞職、再選挙等人事に関する政局ばかりで県事業もスピードダウン、景気を論ずる状況ではなかった。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県南</w:t>
            </w:r>
          </w:p>
        </w:tc>
        <w:tc>
          <w:tcPr>
            <w:tcW w:w="1173" w:type="dxa"/>
          </w:tcPr>
          <w:p>
            <w:pPr>
              <w:pStyle w:val="TableParagraph"/>
              <w:spacing w:line="199" w:lineRule="auto" w:before="45"/>
              <w:ind w:left="395" w:right="29" w:hanging="300"/>
              <w:jc w:val="left"/>
              <w:rPr>
                <w:sz w:val="20"/>
              </w:rPr>
            </w:pPr>
            <w:r>
              <w:rPr>
                <w:sz w:val="20"/>
              </w:rPr>
              <w:t>紙・パルプ製造</w:t>
            </w:r>
          </w:p>
        </w:tc>
        <w:tc>
          <w:tcPr>
            <w:tcW w:w="5795" w:type="dxa"/>
          </w:tcPr>
          <w:p>
            <w:pPr>
              <w:pStyle w:val="TableParagraph"/>
              <w:spacing w:line="199" w:lineRule="auto" w:before="45"/>
              <w:ind w:left="36" w:right="108"/>
              <w:jc w:val="left"/>
              <w:rPr>
                <w:sz w:val="20"/>
              </w:rPr>
            </w:pPr>
            <w:r>
              <w:rPr>
                <w:sz w:val="20"/>
              </w:rPr>
              <w:t>業界全体での国内洋紙出荷が、ここ数カ月前年割れし、需要全般が停滞ぎみであるため。</w:t>
            </w:r>
          </w:p>
        </w:tc>
      </w:tr>
      <w:tr>
        <w:trPr>
          <w:trHeight w:val="522" w:hRule="atLeast"/>
        </w:trPr>
        <w:tc>
          <w:tcPr>
            <w:tcW w:w="1505" w:type="dxa"/>
            <w:vMerge/>
            <w:tcBorders>
              <w:top w:val="nil"/>
            </w:tcBorders>
          </w:tcPr>
          <w:p>
            <w:pPr>
              <w:rPr>
                <w:sz w:val="2"/>
                <w:szCs w:val="2"/>
              </w:rPr>
            </w:pPr>
          </w:p>
        </w:tc>
        <w:tc>
          <w:tcPr>
            <w:tcW w:w="511" w:type="dxa"/>
          </w:tcPr>
          <w:p>
            <w:pPr>
              <w:pStyle w:val="TableParagraph"/>
              <w:ind w:left="42" w:right="7"/>
              <w:jc w:val="center"/>
              <w:rPr>
                <w:sz w:val="20"/>
              </w:rPr>
            </w:pPr>
            <w:r>
              <w:rPr>
                <w:sz w:val="20"/>
              </w:rPr>
              <w:t>雇用</w:t>
            </w:r>
          </w:p>
        </w:tc>
        <w:tc>
          <w:tcPr>
            <w:tcW w:w="511" w:type="dxa"/>
          </w:tcPr>
          <w:p>
            <w:pPr>
              <w:pStyle w:val="TableParagraph"/>
              <w:ind w:left="64"/>
              <w:jc w:val="left"/>
              <w:rPr>
                <w:sz w:val="20"/>
              </w:rPr>
            </w:pPr>
            <w:r>
              <w:rPr>
                <w:sz w:val="20"/>
              </w:rPr>
              <w:t>東青</w:t>
            </w:r>
          </w:p>
        </w:tc>
        <w:tc>
          <w:tcPr>
            <w:tcW w:w="1173" w:type="dxa"/>
          </w:tcPr>
          <w:p>
            <w:pPr>
              <w:pStyle w:val="TableParagraph"/>
              <w:spacing w:line="199" w:lineRule="auto" w:before="45"/>
              <w:ind w:left="395" w:right="29" w:hanging="300"/>
              <w:jc w:val="left"/>
              <w:rPr>
                <w:sz w:val="20"/>
              </w:rPr>
            </w:pPr>
            <w:r>
              <w:rPr>
                <w:sz w:val="20"/>
              </w:rPr>
              <w:t>新聞社求人広告</w:t>
            </w:r>
          </w:p>
        </w:tc>
        <w:tc>
          <w:tcPr>
            <w:tcW w:w="5795" w:type="dxa"/>
          </w:tcPr>
          <w:p>
            <w:pPr>
              <w:pStyle w:val="TableParagraph"/>
              <w:spacing w:line="240" w:lineRule="auto" w:before="119"/>
              <w:ind w:left="36"/>
              <w:jc w:val="left"/>
              <w:rPr>
                <w:sz w:val="20"/>
              </w:rPr>
            </w:pPr>
            <w:r>
              <w:rPr>
                <w:sz w:val="20"/>
              </w:rPr>
              <w:t>広告主に積極的な出稿姿勢がみられない。</w:t>
            </w:r>
          </w:p>
        </w:tc>
      </w:tr>
      <w:tr>
        <w:trPr>
          <w:trHeight w:val="522" w:hRule="atLeast"/>
        </w:trPr>
        <w:tc>
          <w:tcPr>
            <w:tcW w:w="1505" w:type="dxa"/>
            <w:vMerge w:val="restart"/>
          </w:tcPr>
          <w:p>
            <w:pPr>
              <w:pStyle w:val="TableParagraph"/>
              <w:spacing w:line="254" w:lineRule="exact"/>
              <w:ind w:left="440" w:right="405"/>
              <w:jc w:val="center"/>
              <w:rPr>
                <w:sz w:val="22"/>
              </w:rPr>
            </w:pPr>
            <w:r>
              <w:rPr>
                <w:sz w:val="22"/>
              </w:rPr>
              <w:t>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旅行代理店</w:t>
            </w:r>
          </w:p>
        </w:tc>
        <w:tc>
          <w:tcPr>
            <w:tcW w:w="5795" w:type="dxa"/>
          </w:tcPr>
          <w:p>
            <w:pPr>
              <w:pStyle w:val="TableParagraph"/>
              <w:spacing w:line="199" w:lineRule="auto" w:before="45"/>
              <w:ind w:left="36" w:right="108"/>
              <w:jc w:val="left"/>
              <w:rPr>
                <w:sz w:val="20"/>
              </w:rPr>
            </w:pPr>
            <w:r>
              <w:rPr>
                <w:sz w:val="20"/>
              </w:rPr>
              <w:t>中心商店街空洞化が、いろいろな面に悪影響を及ぼし、消費の低迷に拍車をかけている（青森市新町）。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795" w:type="dxa"/>
          </w:tcPr>
          <w:p>
            <w:pPr>
              <w:pStyle w:val="TableParagraph"/>
              <w:spacing w:line="199" w:lineRule="auto" w:before="45"/>
              <w:ind w:left="36" w:right="108"/>
              <w:jc w:val="left"/>
              <w:rPr>
                <w:sz w:val="20"/>
              </w:rPr>
            </w:pPr>
            <w:r>
              <w:rPr>
                <w:sz w:val="20"/>
              </w:rPr>
              <w:t>老舗百貨店閉店による通行量ダウン。郊外のショッピングセンターのオープンによる来街者の減少。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795" w:type="dxa"/>
          </w:tcPr>
          <w:p>
            <w:pPr>
              <w:pStyle w:val="TableParagraph"/>
              <w:spacing w:line="240" w:lineRule="auto" w:before="119"/>
              <w:ind w:left="36"/>
              <w:jc w:val="left"/>
              <w:rPr>
                <w:sz w:val="20"/>
              </w:rPr>
            </w:pPr>
            <w:r>
              <w:rPr>
                <w:sz w:val="20"/>
              </w:rPr>
              <w:t>底が見えない。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老舗百貨店閉店の為、人通りが半減した為。</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タクシー</w:t>
            </w:r>
          </w:p>
        </w:tc>
        <w:tc>
          <w:tcPr>
            <w:tcW w:w="5795" w:type="dxa"/>
          </w:tcPr>
          <w:p>
            <w:pPr>
              <w:pStyle w:val="TableParagraph"/>
              <w:spacing w:line="246" w:lineRule="exact" w:before="33"/>
              <w:ind w:left="36"/>
              <w:jc w:val="left"/>
              <w:rPr>
                <w:sz w:val="20"/>
              </w:rPr>
            </w:pPr>
            <w:r>
              <w:rPr>
                <w:sz w:val="20"/>
              </w:rPr>
              <w:t>・昼、通院利用者の乗車減（医療費負担増か？）</w:t>
            </w:r>
          </w:p>
          <w:p>
            <w:pPr>
              <w:pStyle w:val="TableParagraph"/>
              <w:spacing w:line="223" w:lineRule="exact"/>
              <w:ind w:left="36"/>
              <w:jc w:val="left"/>
              <w:rPr>
                <w:sz w:val="20"/>
              </w:rPr>
            </w:pPr>
            <w:r>
              <w:rPr>
                <w:sz w:val="20"/>
              </w:rPr>
              <w:t>・夜、飲食街での客足減</w:t>
            </w:r>
          </w:p>
          <w:p>
            <w:pPr>
              <w:pStyle w:val="TableParagraph"/>
              <w:spacing w:line="246" w:lineRule="exact"/>
              <w:ind w:left="36"/>
              <w:jc w:val="left"/>
              <w:rPr>
                <w:sz w:val="20"/>
              </w:rPr>
            </w:pPr>
            <w:r>
              <w:rPr>
                <w:sz w:val="20"/>
              </w:rPr>
              <w:t>・共通チケット（官公庁）の利用減</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スナック</w:t>
            </w:r>
          </w:p>
        </w:tc>
        <w:tc>
          <w:tcPr>
            <w:tcW w:w="5795" w:type="dxa"/>
          </w:tcPr>
          <w:p>
            <w:pPr>
              <w:pStyle w:val="TableParagraph"/>
              <w:spacing w:line="246" w:lineRule="exact" w:before="33"/>
              <w:ind w:left="36"/>
              <w:jc w:val="left"/>
              <w:rPr>
                <w:sz w:val="20"/>
              </w:rPr>
            </w:pPr>
            <w:r>
              <w:rPr>
                <w:sz w:val="20"/>
              </w:rPr>
              <w:t>国全体の問題ですよね。不景気ですね。何一つ良いことがなく</w:t>
            </w:r>
          </w:p>
          <w:p>
            <w:pPr>
              <w:pStyle w:val="TableParagraph"/>
              <w:spacing w:line="199" w:lineRule="auto" w:before="14"/>
              <w:ind w:left="36" w:right="108"/>
              <w:jc w:val="left"/>
              <w:rPr>
                <w:sz w:val="20"/>
              </w:rPr>
            </w:pPr>
            <w:r>
              <w:rPr>
                <w:sz w:val="20"/>
              </w:rPr>
              <w:t>（事件、事故、多すぎます）。明るい世の中がこないのでしょうか。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795" w:type="dxa"/>
          </w:tcPr>
          <w:p>
            <w:pPr>
              <w:pStyle w:val="TableParagraph"/>
              <w:spacing w:line="199" w:lineRule="auto" w:before="45"/>
              <w:ind w:left="36" w:right="108"/>
              <w:jc w:val="left"/>
              <w:rPr>
                <w:sz w:val="20"/>
              </w:rPr>
            </w:pPr>
            <w:r>
              <w:rPr>
                <w:sz w:val="20"/>
              </w:rPr>
              <w:t>物価が下落しているにもかかわらず、買上（販売）点数が増えない。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レストラン</w:t>
            </w:r>
          </w:p>
        </w:tc>
        <w:tc>
          <w:tcPr>
            <w:tcW w:w="5795" w:type="dxa"/>
          </w:tcPr>
          <w:p>
            <w:pPr>
              <w:pStyle w:val="TableParagraph"/>
              <w:spacing w:line="240" w:lineRule="auto" w:before="119"/>
              <w:ind w:left="36"/>
              <w:jc w:val="left"/>
              <w:rPr>
                <w:sz w:val="20"/>
              </w:rPr>
            </w:pPr>
            <w:r>
              <w:rPr>
                <w:sz w:val="20"/>
              </w:rPr>
              <w:t>季節的なもの。</w:t>
            </w:r>
          </w:p>
        </w:tc>
      </w:tr>
    </w:tbl>
    <w:p>
      <w:pPr>
        <w:spacing w:after="0" w:line="240" w:lineRule="auto"/>
        <w:jc w:val="left"/>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795"/>
      </w:tblGrid>
      <w:tr>
        <w:trPr>
          <w:trHeight w:val="236" w:hRule="atLeast"/>
        </w:trPr>
        <w:tc>
          <w:tcPr>
            <w:tcW w:w="1505" w:type="dxa"/>
            <w:shd w:val="clear" w:color="auto" w:fill="CCFFCC"/>
          </w:tcPr>
          <w:p>
            <w:pPr>
              <w:pStyle w:val="TableParagraph"/>
              <w:spacing w:line="217" w:lineRule="exact"/>
              <w:ind w:left="440" w:right="405"/>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42"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795" w:type="dxa"/>
            <w:shd w:val="clear" w:color="auto" w:fill="CCFFCC"/>
          </w:tcPr>
          <w:p>
            <w:pPr>
              <w:pStyle w:val="TableParagraph"/>
              <w:spacing w:line="217" w:lineRule="exact"/>
              <w:ind w:left="2686" w:right="2648"/>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440" w:right="405"/>
              <w:jc w:val="center"/>
              <w:rPr>
                <w:sz w:val="22"/>
              </w:rPr>
            </w:pPr>
            <w:r>
              <w:rPr>
                <w:sz w:val="22"/>
              </w:rPr>
              <w:t>悪い</w:t>
            </w:r>
          </w:p>
        </w:tc>
        <w:tc>
          <w:tcPr>
            <w:tcW w:w="511" w:type="dxa"/>
            <w:vMerge w:val="restart"/>
          </w:tcPr>
          <w:p>
            <w:pPr>
              <w:pStyle w:val="TableParagraph"/>
              <w:ind w:left="64"/>
              <w:jc w:val="left"/>
              <w:rPr>
                <w:sz w:val="20"/>
              </w:rPr>
            </w:pPr>
            <w:r>
              <w:rPr>
                <w:sz w:val="20"/>
              </w:rPr>
              <w:t>家計</w:t>
            </w:r>
          </w:p>
        </w:tc>
        <w:tc>
          <w:tcPr>
            <w:tcW w:w="511" w:type="dxa"/>
          </w:tcPr>
          <w:p>
            <w:pPr>
              <w:pStyle w:val="TableParagraph"/>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コンビニ</w:t>
            </w:r>
          </w:p>
        </w:tc>
        <w:tc>
          <w:tcPr>
            <w:tcW w:w="5795" w:type="dxa"/>
          </w:tcPr>
          <w:p>
            <w:pPr>
              <w:pStyle w:val="TableParagraph"/>
              <w:spacing w:line="240" w:lineRule="auto" w:before="119"/>
              <w:ind w:left="36"/>
              <w:jc w:val="left"/>
              <w:rPr>
                <w:sz w:val="20"/>
              </w:rPr>
            </w:pPr>
            <w:r>
              <w:rPr>
                <w:sz w:val="20"/>
              </w:rPr>
              <w:t>客単価が下げ止まらない。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美容院</w:t>
            </w:r>
          </w:p>
        </w:tc>
        <w:tc>
          <w:tcPr>
            <w:tcW w:w="5795" w:type="dxa"/>
          </w:tcPr>
          <w:p>
            <w:pPr>
              <w:pStyle w:val="TableParagraph"/>
              <w:spacing w:line="199" w:lineRule="auto" w:before="45"/>
              <w:ind w:left="36" w:right="108"/>
              <w:jc w:val="left"/>
              <w:rPr>
                <w:sz w:val="20"/>
              </w:rPr>
            </w:pPr>
            <w:r>
              <w:rPr>
                <w:sz w:val="20"/>
              </w:rPr>
              <w:t>人の動きがよくない。反応がしぶい。話しを聞いても、良くないと言う人ばかり。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795" w:type="dxa"/>
          </w:tcPr>
          <w:p>
            <w:pPr>
              <w:pStyle w:val="TableParagraph"/>
              <w:spacing w:line="240" w:lineRule="auto" w:before="119"/>
              <w:ind w:left="36"/>
              <w:jc w:val="left"/>
              <w:rPr>
                <w:sz w:val="20"/>
              </w:rPr>
            </w:pPr>
            <w:r>
              <w:rPr>
                <w:sz w:val="20"/>
              </w:rPr>
              <w:t>毎日、毎月の売上を見ても、去年より大分下がっています。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795" w:type="dxa"/>
          </w:tcPr>
          <w:p>
            <w:pPr>
              <w:pStyle w:val="TableParagraph"/>
              <w:spacing w:line="240" w:lineRule="auto" w:before="119"/>
              <w:ind w:left="36"/>
              <w:jc w:val="left"/>
              <w:rPr>
                <w:sz w:val="20"/>
              </w:rPr>
            </w:pPr>
            <w:r>
              <w:rPr>
                <w:sz w:val="20"/>
              </w:rPr>
              <w:t>前年の売上が達成してない。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一般飲食店</w:t>
            </w:r>
          </w:p>
        </w:tc>
        <w:tc>
          <w:tcPr>
            <w:tcW w:w="5795" w:type="dxa"/>
          </w:tcPr>
          <w:p>
            <w:pPr>
              <w:pStyle w:val="TableParagraph"/>
              <w:spacing w:line="240" w:lineRule="auto" w:before="119"/>
              <w:ind w:left="36"/>
              <w:jc w:val="left"/>
              <w:rPr>
                <w:sz w:val="20"/>
              </w:rPr>
            </w:pPr>
            <w:r>
              <w:rPr>
                <w:sz w:val="20"/>
              </w:rPr>
              <w:t>不景気になってから、1カ月１００円ずつ下がっています。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795" w:type="dxa"/>
          </w:tcPr>
          <w:p>
            <w:pPr>
              <w:pStyle w:val="TableParagraph"/>
              <w:spacing w:line="240" w:lineRule="auto" w:before="119"/>
              <w:ind w:left="36"/>
              <w:jc w:val="left"/>
              <w:rPr>
                <w:sz w:val="20"/>
              </w:rPr>
            </w:pPr>
            <w:r>
              <w:rPr>
                <w:sz w:val="20"/>
              </w:rPr>
              <w:t>仕事がないですか？という声が多い（離職者が増えている）。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795" w:type="dxa"/>
          </w:tcPr>
          <w:p>
            <w:pPr>
              <w:pStyle w:val="TableParagraph"/>
              <w:spacing w:line="199" w:lineRule="auto" w:before="45"/>
              <w:ind w:left="36" w:right="108"/>
              <w:jc w:val="left"/>
              <w:rPr>
                <w:sz w:val="20"/>
              </w:rPr>
            </w:pPr>
            <w:r>
              <w:rPr>
                <w:sz w:val="20"/>
              </w:rPr>
              <w:t>消費マインドが低い。マスコミで不景気と報道しすぎ。必要なものしか買わない。</w:t>
            </w:r>
          </w:p>
        </w:tc>
      </w:tr>
      <w:tr>
        <w:trPr>
          <w:trHeight w:val="522" w:hRule="atLeast"/>
        </w:trPr>
        <w:tc>
          <w:tcPr>
            <w:tcW w:w="1505" w:type="dxa"/>
          </w:tcPr>
          <w:p>
            <w:pPr>
              <w:pStyle w:val="TableParagraph"/>
              <w:spacing w:line="254" w:lineRule="exact"/>
              <w:ind w:left="440" w:right="405"/>
              <w:jc w:val="center"/>
              <w:rPr>
                <w:sz w:val="22"/>
              </w:rPr>
            </w:pPr>
            <w:r>
              <w:rPr>
                <w:sz w:val="22"/>
              </w:rPr>
              <w:t>不明</w:t>
            </w:r>
          </w:p>
        </w:tc>
        <w:tc>
          <w:tcPr>
            <w:tcW w:w="511" w:type="dxa"/>
          </w:tcPr>
          <w:p>
            <w:pPr>
              <w:pStyle w:val="TableParagraph"/>
              <w:ind w:left="42" w:right="7"/>
              <w:jc w:val="center"/>
              <w:rPr>
                <w:sz w:val="20"/>
              </w:rPr>
            </w:pPr>
            <w:r>
              <w:rPr>
                <w:sz w:val="20"/>
              </w:rPr>
              <w:t>企業</w:t>
            </w:r>
          </w:p>
        </w:tc>
        <w:tc>
          <w:tcPr>
            <w:tcW w:w="511" w:type="dxa"/>
          </w:tcPr>
          <w:p>
            <w:pPr>
              <w:pStyle w:val="TableParagraph"/>
              <w:ind w:left="64"/>
              <w:jc w:val="left"/>
              <w:rPr>
                <w:sz w:val="20"/>
              </w:rPr>
            </w:pPr>
            <w:r>
              <w:rPr>
                <w:sz w:val="20"/>
              </w:rPr>
              <w:t>津軽</w:t>
            </w:r>
          </w:p>
        </w:tc>
        <w:tc>
          <w:tcPr>
            <w:tcW w:w="1173" w:type="dxa"/>
          </w:tcPr>
          <w:p>
            <w:pPr>
              <w:pStyle w:val="TableParagraph"/>
              <w:spacing w:line="240" w:lineRule="auto" w:before="119"/>
              <w:ind w:left="73" w:right="37"/>
              <w:jc w:val="center"/>
              <w:rPr>
                <w:sz w:val="20"/>
              </w:rPr>
            </w:pPr>
            <w:r>
              <w:rPr>
                <w:sz w:val="20"/>
              </w:rPr>
              <w:t>建設</w:t>
            </w:r>
          </w:p>
        </w:tc>
        <w:tc>
          <w:tcPr>
            <w:tcW w:w="5795" w:type="dxa"/>
          </w:tcPr>
          <w:p>
            <w:pPr>
              <w:pStyle w:val="TableParagraph"/>
              <w:spacing w:line="240" w:lineRule="auto" w:before="119"/>
              <w:ind w:left="36"/>
              <w:jc w:val="left"/>
              <w:rPr>
                <w:sz w:val="20"/>
              </w:rPr>
            </w:pPr>
            <w:r>
              <w:rPr>
                <w:sz w:val="20"/>
              </w:rPr>
              <w:t>新規受注がない（大きい）。</w:t>
            </w:r>
          </w:p>
        </w:tc>
      </w:tr>
    </w:tbl>
    <w:p>
      <w:pPr>
        <w:spacing w:after="0" w:line="240" w:lineRule="auto"/>
        <w:jc w:val="left"/>
        <w:rPr>
          <w:sz w:val="20"/>
        </w:rPr>
        <w:sectPr>
          <w:pgSz w:w="11900" w:h="16840"/>
          <w:pgMar w:header="0" w:footer="765" w:top="1420" w:bottom="960" w:left="1000" w:right="1060"/>
        </w:sectPr>
      </w:pPr>
    </w:p>
    <w:p>
      <w:pPr>
        <w:pStyle w:val="BodyText"/>
        <w:spacing w:before="10"/>
        <w:rPr>
          <w:sz w:val="17"/>
        </w:rPr>
      </w:pPr>
    </w:p>
    <w:p>
      <w:pPr>
        <w:spacing w:before="101"/>
        <w:ind w:left="187" w:right="0" w:firstLine="0"/>
        <w:jc w:val="left"/>
        <w:rPr>
          <w:sz w:val="24"/>
        </w:rPr>
      </w:pPr>
      <w:r>
        <w:rPr>
          <w:sz w:val="24"/>
        </w:rPr>
        <w:t>（２）景気の先行き判断理由</w:t>
      </w:r>
    </w:p>
    <w:p>
      <w:pPr>
        <w:pStyle w:val="BodyText"/>
        <w:spacing w:before="1"/>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40" w:right="405"/>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2"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3"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tcPr>
          <w:p>
            <w:pPr>
              <w:pStyle w:val="TableParagraph"/>
              <w:spacing w:line="254" w:lineRule="exact"/>
              <w:ind w:left="440" w:right="405"/>
              <w:jc w:val="center"/>
              <w:rPr>
                <w:sz w:val="22"/>
              </w:rPr>
            </w:pPr>
            <w:r>
              <w:rPr>
                <w:sz w:val="22"/>
              </w:rPr>
              <w:t>良い</w:t>
            </w:r>
          </w:p>
        </w:tc>
        <w:tc>
          <w:tcPr>
            <w:tcW w:w="511" w:type="dxa"/>
          </w:tcPr>
          <w:p>
            <w:pPr>
              <w:pStyle w:val="TableParagraph"/>
              <w:ind w:left="42" w:right="7"/>
              <w:jc w:val="center"/>
              <w:rPr>
                <w:sz w:val="20"/>
              </w:rPr>
            </w:pPr>
            <w:r>
              <w:rPr>
                <w:sz w:val="20"/>
              </w:rPr>
              <w:t>家計</w:t>
            </w:r>
          </w:p>
        </w:tc>
        <w:tc>
          <w:tcPr>
            <w:tcW w:w="511" w:type="dxa"/>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123"/>
              <w:jc w:val="left"/>
              <w:rPr>
                <w:sz w:val="20"/>
              </w:rPr>
            </w:pPr>
            <w:r>
              <w:rPr>
                <w:sz w:val="20"/>
              </w:rPr>
              <w:t>当地域（当農産物直販所）は、色々なくだものがたくさん取れるので、これから良くなることを期待しています。</w:t>
            </w:r>
          </w:p>
        </w:tc>
      </w:tr>
      <w:tr>
        <w:trPr>
          <w:trHeight w:val="522" w:hRule="atLeast"/>
        </w:trPr>
        <w:tc>
          <w:tcPr>
            <w:tcW w:w="1505" w:type="dxa"/>
            <w:vMerge w:val="restart"/>
          </w:tcPr>
          <w:p>
            <w:pPr>
              <w:pStyle w:val="TableParagraph"/>
              <w:spacing w:line="254" w:lineRule="exact"/>
              <w:ind w:left="318"/>
              <w:jc w:val="left"/>
              <w:rPr>
                <w:sz w:val="22"/>
              </w:rPr>
            </w:pPr>
            <w:r>
              <w:rPr>
                <w:sz w:val="22"/>
              </w:rPr>
              <w:t>やや良い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株価の回復が心理的に好い方向に働く期待を込めて。</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73"/>
              <w:jc w:val="both"/>
              <w:rPr>
                <w:sz w:val="20"/>
              </w:rPr>
            </w:pPr>
            <w:r>
              <w:rPr>
                <w:spacing w:val="-3"/>
                <w:sz w:val="20"/>
              </w:rPr>
              <w:t>そろそろ経済政策の効果と、各企業の構造改革の効果が表れると思う。可処分所得が増えるとは思わないが、マインドは好転すると思う。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7"/>
              <w:jc w:val="center"/>
              <w:rPr>
                <w:sz w:val="20"/>
              </w:rPr>
            </w:pPr>
            <w:r>
              <w:rPr>
                <w:sz w:val="20"/>
              </w:rPr>
              <w:t>パチンコ</w:t>
            </w:r>
          </w:p>
        </w:tc>
        <w:tc>
          <w:tcPr>
            <w:tcW w:w="5810" w:type="dxa"/>
          </w:tcPr>
          <w:p>
            <w:pPr>
              <w:pStyle w:val="TableParagraph"/>
              <w:spacing w:line="199" w:lineRule="auto" w:before="69"/>
              <w:ind w:left="36" w:right="173"/>
              <w:jc w:val="both"/>
              <w:rPr>
                <w:sz w:val="20"/>
              </w:rPr>
            </w:pPr>
            <w:r>
              <w:rPr>
                <w:spacing w:val="-3"/>
                <w:sz w:val="20"/>
              </w:rPr>
              <w:t>県知事も決定し、政策通りにすすめば、期待を込めて、良くなる事を望みます。但し、次点の方の得票を現知事さんが、どの様にとらえて行くかも懸念の材料です。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323"/>
              <w:jc w:val="left"/>
              <w:rPr>
                <w:sz w:val="20"/>
              </w:rPr>
            </w:pPr>
            <w:r>
              <w:rPr>
                <w:sz w:val="20"/>
              </w:rPr>
              <w:t>ねぷた祭、盆（帰省）、紅葉など観光入込増となる要素が多い。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7"/>
              <w:jc w:val="center"/>
              <w:rPr>
                <w:sz w:val="20"/>
              </w:rPr>
            </w:pPr>
            <w:r>
              <w:rPr>
                <w:sz w:val="20"/>
              </w:rPr>
              <w:t>スーパー</w:t>
            </w:r>
          </w:p>
        </w:tc>
        <w:tc>
          <w:tcPr>
            <w:tcW w:w="5810" w:type="dxa"/>
          </w:tcPr>
          <w:p>
            <w:pPr>
              <w:pStyle w:val="TableParagraph"/>
              <w:spacing w:line="199" w:lineRule="auto" w:before="69"/>
              <w:ind w:left="36" w:right="173"/>
              <w:jc w:val="both"/>
              <w:rPr>
                <w:sz w:val="20"/>
              </w:rPr>
            </w:pPr>
            <w:r>
              <w:rPr>
                <w:spacing w:val="-3"/>
                <w:sz w:val="20"/>
              </w:rPr>
              <w:t>小泉内閣が続投した場合、これ以上悪化しようもないから穏やかな回復となる。総裁選に敗れると、また悪化するかも知れない。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23"/>
              <w:jc w:val="left"/>
              <w:rPr>
                <w:sz w:val="20"/>
              </w:rPr>
            </w:pPr>
            <w:r>
              <w:rPr>
                <w:sz w:val="20"/>
              </w:rPr>
              <w:t>青森県内は、夏に祭りやイベントがありますので、観光客が来ると思う。八戸でも三社大祭で賑わうと思います。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240" w:lineRule="auto" w:before="119"/>
              <w:ind w:left="36"/>
              <w:jc w:val="left"/>
              <w:rPr>
                <w:sz w:val="20"/>
              </w:rPr>
            </w:pPr>
            <w:r>
              <w:rPr>
                <w:sz w:val="20"/>
              </w:rPr>
              <w:t>良くなってほしいと思う私の願いです。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7"/>
              <w:jc w:val="center"/>
              <w:rPr>
                <w:sz w:val="20"/>
              </w:rPr>
            </w:pPr>
            <w:r>
              <w:rPr>
                <w:sz w:val="20"/>
              </w:rPr>
              <w:t>タクシー</w:t>
            </w:r>
          </w:p>
        </w:tc>
        <w:tc>
          <w:tcPr>
            <w:tcW w:w="5810" w:type="dxa"/>
          </w:tcPr>
          <w:p>
            <w:pPr>
              <w:pStyle w:val="TableParagraph"/>
              <w:spacing w:line="199" w:lineRule="auto" w:before="69"/>
              <w:ind w:left="36" w:right="173"/>
              <w:jc w:val="both"/>
              <w:rPr>
                <w:sz w:val="20"/>
              </w:rPr>
            </w:pPr>
            <w:r>
              <w:rPr>
                <w:spacing w:val="-3"/>
                <w:sz w:val="20"/>
              </w:rPr>
              <w:t>県知事も決まり、ただ期待感だけかもしれない。出来れば、夏のイベント、お祭り等に関連し催事など沢山計画し、小売業などにも活気が戻れば良いと思います。</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企業</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jc w:val="left"/>
              <w:rPr>
                <w:sz w:val="20"/>
              </w:rPr>
            </w:pPr>
            <w:r>
              <w:rPr>
                <w:sz w:val="20"/>
              </w:rPr>
              <w:t>株式相場の上昇傾向から、今後、全般的に景気が上向くものと思う。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69"/>
              <w:ind w:left="36" w:right="173"/>
              <w:jc w:val="both"/>
              <w:rPr>
                <w:sz w:val="20"/>
              </w:rPr>
            </w:pPr>
            <w:r>
              <w:rPr>
                <w:spacing w:val="-3"/>
                <w:sz w:val="20"/>
              </w:rPr>
              <w:t>これ以上悪くはならないと思います。３カ月先は、ジワリ、ジワリ、ジワリと徐々に気分が上向いているのではないでしょうか。努力と辛抱の一手あるのみ。</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県南</w:t>
            </w: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199" w:lineRule="auto" w:before="45"/>
              <w:ind w:left="36" w:right="123"/>
              <w:jc w:val="left"/>
              <w:rPr>
                <w:sz w:val="20"/>
              </w:rPr>
            </w:pPr>
            <w:r>
              <w:rPr>
                <w:sz w:val="20"/>
              </w:rPr>
              <w:t>不況は心理的なものが影響するので、株価、消費など底打ち感があるので。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jc w:val="left"/>
              <w:rPr>
                <w:sz w:val="20"/>
              </w:rPr>
            </w:pPr>
            <w:r>
              <w:rPr>
                <w:sz w:val="20"/>
              </w:rPr>
              <w:t>観光面において、新幹線開業後、初めての夏を迎え、各地の祭りに人出の入りが見込めそうだから。</w:t>
            </w:r>
          </w:p>
        </w:tc>
      </w:tr>
      <w:tr>
        <w:trPr>
          <w:trHeight w:val="522"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199" w:lineRule="auto" w:before="45"/>
              <w:ind w:left="36" w:right="123"/>
              <w:jc w:val="left"/>
              <w:rPr>
                <w:sz w:val="20"/>
              </w:rPr>
            </w:pPr>
            <w:r>
              <w:rPr>
                <w:sz w:val="20"/>
              </w:rPr>
              <w:t>良になってほしいと願っているので、刺激策がほしいところです。新知事に期待しています。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好転する材料が見当たらない。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昨年並みに行くと思っております。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240" w:lineRule="auto" w:before="119"/>
              <w:ind w:left="36"/>
              <w:jc w:val="left"/>
              <w:rPr>
                <w:sz w:val="20"/>
              </w:rPr>
            </w:pPr>
            <w:r>
              <w:rPr>
                <w:sz w:val="20"/>
              </w:rPr>
              <w:t>不安材料が多過ぎる。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240" w:lineRule="auto" w:before="119"/>
              <w:ind w:left="36"/>
              <w:jc w:val="left"/>
              <w:rPr>
                <w:sz w:val="20"/>
              </w:rPr>
            </w:pPr>
            <w:r>
              <w:rPr>
                <w:sz w:val="20"/>
              </w:rPr>
              <w:t>今を見ていると、なんともいえない。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123"/>
              <w:jc w:val="left"/>
              <w:rPr>
                <w:sz w:val="20"/>
              </w:rPr>
            </w:pPr>
            <w:r>
              <w:rPr>
                <w:sz w:val="20"/>
              </w:rPr>
              <w:t>オシャレ感というよりも、自分なりのライフスタイルを持とうとしているような感じがする。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この状況で推移しそうです。</w:t>
            </w:r>
          </w:p>
        </w:tc>
      </w:tr>
    </w:tbl>
    <w:p>
      <w:pPr>
        <w:spacing w:after="0" w:line="240" w:lineRule="auto"/>
        <w:jc w:val="left"/>
        <w:rPr>
          <w:sz w:val="20"/>
        </w:rPr>
        <w:sectPr>
          <w:pgSz w:w="11900" w:h="16840"/>
          <w:pgMar w:header="0" w:footer="765" w:top="160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2"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3"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家計</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レストラン</w:t>
            </w:r>
          </w:p>
        </w:tc>
        <w:tc>
          <w:tcPr>
            <w:tcW w:w="5810" w:type="dxa"/>
          </w:tcPr>
          <w:p>
            <w:pPr>
              <w:pStyle w:val="TableParagraph"/>
              <w:spacing w:line="199" w:lineRule="auto" w:before="69"/>
              <w:ind w:left="36" w:right="173"/>
              <w:jc w:val="left"/>
              <w:rPr>
                <w:sz w:val="20"/>
              </w:rPr>
            </w:pPr>
            <w:r>
              <w:rPr>
                <w:spacing w:val="-3"/>
                <w:sz w:val="20"/>
              </w:rPr>
              <w:t>ある程度のお客様は前からのリピーターで、ダイレクトメールなどで新しいメニューをやると、だいたいの割合で、リピー  ター中心のお客様がいらしていただける。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69"/>
              <w:ind w:left="36" w:right="173"/>
              <w:jc w:val="both"/>
              <w:rPr>
                <w:sz w:val="20"/>
              </w:rPr>
            </w:pPr>
            <w:r>
              <w:rPr>
                <w:spacing w:val="-3"/>
                <w:sz w:val="20"/>
              </w:rPr>
              <w:t>常に厳しい状況にあり、今後の見通しとはいえ、不安は否めない。ただ、近隣の動向、社会状況を把握し、対応策を見いだしていく。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jc w:val="left"/>
              <w:rPr>
                <w:sz w:val="20"/>
              </w:rPr>
            </w:pPr>
            <w:r>
              <w:rPr>
                <w:sz w:val="20"/>
              </w:rPr>
              <w:t>変化のみられる要素がない。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199" w:lineRule="auto" w:before="45"/>
              <w:ind w:left="36" w:right="123"/>
              <w:jc w:val="left"/>
              <w:rPr>
                <w:sz w:val="20"/>
              </w:rPr>
            </w:pPr>
            <w:r>
              <w:rPr>
                <w:sz w:val="20"/>
              </w:rPr>
              <w:t>政府の方針、また、不良債権（銀行関係）多いとの報道に消費者萎縮。</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jc w:val="left"/>
              <w:rPr>
                <w:sz w:val="20"/>
              </w:rPr>
            </w:pPr>
            <w:r>
              <w:rPr>
                <w:sz w:val="20"/>
              </w:rPr>
              <w:t>夏はいいけど、秋はこわいですね。</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3"/>
              <w:jc w:val="left"/>
              <w:rPr>
                <w:sz w:val="20"/>
              </w:rPr>
            </w:pPr>
            <w:r>
              <w:rPr>
                <w:spacing w:val="-3"/>
                <w:sz w:val="20"/>
              </w:rPr>
              <w:t>当店は６月下旬に、商店街の中で少し立地の良い場所へ移転  し、敷地面積も広くなり、以前の環境よりはよくなっているので、やや悪くなっている現在の景気と掛け合わせて「変わらない」ところまでいけると思っています。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199" w:lineRule="auto" w:before="45"/>
              <w:ind w:left="36" w:right="123"/>
              <w:jc w:val="left"/>
              <w:rPr>
                <w:sz w:val="20"/>
              </w:rPr>
            </w:pPr>
            <w:r>
              <w:rPr>
                <w:sz w:val="20"/>
              </w:rPr>
              <w:t>外食費は節約できる費用の上位にランクされる。レストラン部門の賑わいが景気のバロメーター。</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240" w:lineRule="auto" w:before="119"/>
              <w:ind w:left="36"/>
              <w:jc w:val="left"/>
              <w:rPr>
                <w:sz w:val="20"/>
              </w:rPr>
            </w:pPr>
            <w:r>
              <w:rPr>
                <w:sz w:val="20"/>
              </w:rPr>
              <w:t>国、県の中小企業対策の具体策がみえない。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240" w:lineRule="auto" w:before="119"/>
              <w:ind w:left="36"/>
              <w:jc w:val="left"/>
              <w:rPr>
                <w:sz w:val="20"/>
              </w:rPr>
            </w:pPr>
            <w:r>
              <w:rPr>
                <w:sz w:val="20"/>
              </w:rPr>
              <w:t>全体の着工件数減少と、所得不安からの成約件数の減少。</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特に下がる要素もなければ、上がる要素もない為。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123"/>
              <w:jc w:val="left"/>
              <w:rPr>
                <w:sz w:val="20"/>
              </w:rPr>
            </w:pPr>
            <w:r>
              <w:rPr>
                <w:sz w:val="20"/>
              </w:rPr>
              <w:t>業種によって多少ばらつきがあると思うが、給与所得者の収入減、および雇用状況の厳しさが改善されていない。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199" w:lineRule="auto" w:before="45"/>
              <w:ind w:left="36" w:right="123"/>
              <w:jc w:val="left"/>
              <w:rPr>
                <w:sz w:val="20"/>
              </w:rPr>
            </w:pPr>
            <w:r>
              <w:rPr>
                <w:sz w:val="20"/>
              </w:rPr>
              <w:t>公共事業が減り続け、民間の設備投資も伸び悩むことが予想される。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323"/>
              <w:jc w:val="left"/>
              <w:rPr>
                <w:sz w:val="20"/>
              </w:rPr>
            </w:pPr>
            <w:r>
              <w:rPr>
                <w:sz w:val="20"/>
              </w:rPr>
              <w:t>８月の予約状況は出足が早く、ここ３～４年にはなかったこと。</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199" w:lineRule="auto" w:before="45"/>
              <w:ind w:left="36" w:right="323"/>
              <w:jc w:val="left"/>
              <w:rPr>
                <w:sz w:val="20"/>
              </w:rPr>
            </w:pPr>
            <w:r>
              <w:rPr>
                <w:sz w:val="20"/>
              </w:rPr>
              <w:t>中央政府で景気対策を抜本的に考えなおさなければ変わらない。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23"/>
              <w:jc w:val="left"/>
              <w:rPr>
                <w:sz w:val="20"/>
              </w:rPr>
            </w:pPr>
            <w:r>
              <w:rPr>
                <w:sz w:val="20"/>
              </w:rPr>
              <w:t>若い世代の雇用問題（受入企業が少ない）の悪化！数々の増税による消費者の家計の圧迫等！</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93"/>
              <w:ind w:left="36" w:right="173"/>
              <w:jc w:val="both"/>
              <w:rPr>
                <w:sz w:val="20"/>
              </w:rPr>
            </w:pPr>
            <w:r>
              <w:rPr>
                <w:spacing w:val="-3"/>
                <w:sz w:val="20"/>
              </w:rPr>
              <w:t>さしあたって、景気回復の材料が見当たらない。また、当面少なくとも、およそ現在の状況が続くだろうとみている経営者が多い。これがいろいろな会合等での社長方から返ってくる言葉です。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199" w:lineRule="auto" w:before="182"/>
              <w:ind w:left="294" w:right="59" w:hanging="200"/>
              <w:jc w:val="left"/>
              <w:rPr>
                <w:sz w:val="20"/>
              </w:rPr>
            </w:pPr>
            <w:r>
              <w:rPr>
                <w:sz w:val="20"/>
              </w:rPr>
              <w:t>ガソリンスタンド</w:t>
            </w:r>
          </w:p>
        </w:tc>
        <w:tc>
          <w:tcPr>
            <w:tcW w:w="5810" w:type="dxa"/>
          </w:tcPr>
          <w:p>
            <w:pPr>
              <w:pStyle w:val="TableParagraph"/>
              <w:spacing w:line="199" w:lineRule="auto" w:before="69"/>
              <w:ind w:left="36" w:right="173"/>
              <w:jc w:val="left"/>
              <w:rPr>
                <w:sz w:val="20"/>
              </w:rPr>
            </w:pPr>
            <w:r>
              <w:rPr>
                <w:spacing w:val="-3"/>
                <w:sz w:val="20"/>
              </w:rPr>
              <w:t>７月に入って建設業にようやく公共事業の発注が見えてきておりますので、これからが景気の回復がみられると思っていま  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23"/>
              <w:jc w:val="left"/>
              <w:rPr>
                <w:sz w:val="20"/>
              </w:rPr>
            </w:pPr>
            <w:r>
              <w:rPr>
                <w:sz w:val="20"/>
              </w:rPr>
              <w:t>建設業が良くならない分、観光業が多少上向きのためプラスマイナス０。</w:t>
            </w:r>
          </w:p>
        </w:tc>
      </w:tr>
      <w:tr>
        <w:trPr>
          <w:trHeight w:val="1067" w:hRule="atLeast"/>
        </w:trPr>
        <w:tc>
          <w:tcPr>
            <w:tcW w:w="1505" w:type="dxa"/>
            <w:vMerge/>
            <w:tcBorders>
              <w:top w:val="nil"/>
            </w:tcBorders>
          </w:tcPr>
          <w:p>
            <w:pPr>
              <w:rPr>
                <w:sz w:val="2"/>
                <w:szCs w:val="2"/>
              </w:rPr>
            </w:pPr>
          </w:p>
        </w:tc>
        <w:tc>
          <w:tcPr>
            <w:tcW w:w="511" w:type="dxa"/>
          </w:tcPr>
          <w:p>
            <w:pPr>
              <w:pStyle w:val="TableParagraph"/>
              <w:ind w:left="42" w:right="7"/>
              <w:jc w:val="center"/>
              <w:rPr>
                <w:sz w:val="20"/>
              </w:rPr>
            </w:pPr>
            <w:r>
              <w:rPr>
                <w:sz w:val="20"/>
              </w:rPr>
              <w:t>企業</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8"/>
              <w:jc w:val="left"/>
              <w:rPr>
                <w:sz w:val="23"/>
              </w:rPr>
            </w:pPr>
          </w:p>
          <w:p>
            <w:pPr>
              <w:pStyle w:val="TableParagraph"/>
              <w:spacing w:line="199" w:lineRule="auto"/>
              <w:ind w:left="196" w:right="29" w:hanging="101"/>
              <w:jc w:val="left"/>
              <w:rPr>
                <w:sz w:val="20"/>
              </w:rPr>
            </w:pPr>
            <w:r>
              <w:rPr>
                <w:sz w:val="20"/>
              </w:rPr>
              <w:t>経営コンサルタント</w:t>
            </w:r>
          </w:p>
        </w:tc>
        <w:tc>
          <w:tcPr>
            <w:tcW w:w="5810" w:type="dxa"/>
          </w:tcPr>
          <w:p>
            <w:pPr>
              <w:pStyle w:val="TableParagraph"/>
              <w:spacing w:line="199" w:lineRule="auto" w:before="93"/>
              <w:ind w:left="36" w:right="173"/>
              <w:jc w:val="both"/>
              <w:rPr>
                <w:sz w:val="20"/>
              </w:rPr>
            </w:pPr>
            <w:r>
              <w:rPr>
                <w:spacing w:val="-3"/>
                <w:sz w:val="20"/>
              </w:rPr>
              <w:t>日経平均株価の上昇はあるものの、実体を伴っておらず、景気回復に与える影響は少ない。抜本的な景気の刺激策が打たれない限り、雇用悪化と消費低迷からの脱却は困難であり、景気は良くならない。</w:t>
            </w:r>
          </w:p>
        </w:tc>
      </w:tr>
    </w:tbl>
    <w:p>
      <w:pPr>
        <w:spacing w:after="0" w:line="199" w:lineRule="auto"/>
        <w:jc w:val="both"/>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3"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1271" w:hRule="atLeast"/>
        </w:trPr>
        <w:tc>
          <w:tcPr>
            <w:tcW w:w="1505" w:type="dxa"/>
            <w:vMerge w:val="restart"/>
          </w:tcPr>
          <w:p>
            <w:pPr>
              <w:pStyle w:val="TableParagraph"/>
              <w:spacing w:line="199" w:lineRule="auto"/>
              <w:ind w:left="429" w:right="60" w:hanging="332"/>
              <w:jc w:val="left"/>
              <w:rPr>
                <w:sz w:val="22"/>
              </w:rPr>
            </w:pPr>
            <w:r>
              <w:rPr>
                <w:sz w:val="22"/>
              </w:rPr>
              <w:t>どちらとも言えない</w:t>
            </w:r>
          </w:p>
        </w:tc>
        <w:tc>
          <w:tcPr>
            <w:tcW w:w="511" w:type="dxa"/>
            <w:vMerge w:val="restart"/>
          </w:tcPr>
          <w:p>
            <w:pPr>
              <w:pStyle w:val="TableParagraph"/>
              <w:ind w:left="64"/>
              <w:jc w:val="left"/>
              <w:rPr>
                <w:sz w:val="20"/>
              </w:rPr>
            </w:pPr>
            <w:r>
              <w:rPr>
                <w:sz w:val="20"/>
              </w:rPr>
              <w:t>企業</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1"/>
              <w:jc w:val="left"/>
              <w:rPr>
                <w:sz w:val="36"/>
              </w:rPr>
            </w:pPr>
          </w:p>
          <w:p>
            <w:pPr>
              <w:pStyle w:val="TableParagraph"/>
              <w:spacing w:line="240" w:lineRule="auto"/>
              <w:ind w:left="73" w:right="37"/>
              <w:jc w:val="center"/>
              <w:rPr>
                <w:sz w:val="20"/>
              </w:rPr>
            </w:pPr>
            <w:r>
              <w:rPr>
                <w:sz w:val="20"/>
              </w:rPr>
              <w:t>建設</w:t>
            </w:r>
          </w:p>
        </w:tc>
        <w:tc>
          <w:tcPr>
            <w:tcW w:w="5810" w:type="dxa"/>
          </w:tcPr>
          <w:p>
            <w:pPr>
              <w:pStyle w:val="TableParagraph"/>
              <w:spacing w:line="199" w:lineRule="auto" w:before="83"/>
              <w:ind w:left="36" w:right="173"/>
              <w:jc w:val="both"/>
              <w:rPr>
                <w:sz w:val="20"/>
              </w:rPr>
            </w:pPr>
            <w:r>
              <w:rPr>
                <w:spacing w:val="-3"/>
                <w:sz w:val="20"/>
              </w:rPr>
              <w:t>不況といわれて久しいが、これは経済構造の変化に起因するもので、景気波動によるものとは異なると見るべきである。故に</w:t>
            </w:r>
          </w:p>
          <w:p>
            <w:pPr>
              <w:pStyle w:val="TableParagraph"/>
              <w:spacing w:line="199" w:lineRule="auto" w:before="2"/>
              <w:ind w:left="36" w:right="173"/>
              <w:jc w:val="both"/>
              <w:rPr>
                <w:sz w:val="20"/>
              </w:rPr>
            </w:pPr>
            <w:r>
              <w:rPr>
                <w:spacing w:val="-3"/>
                <w:sz w:val="20"/>
              </w:rPr>
              <w:t>「数年で回復する」とか「かつての状況を取戻す」ということはあり得ない。即ち、「現状こそ常態」なのであり、当分の間は大変動はないと考えている。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７月は冷夏ぎみなので、夏場商品の売上が今いちである。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電気機械製造</w:t>
            </w:r>
          </w:p>
        </w:tc>
        <w:tc>
          <w:tcPr>
            <w:tcW w:w="5810" w:type="dxa"/>
          </w:tcPr>
          <w:p>
            <w:pPr>
              <w:pStyle w:val="TableParagraph"/>
              <w:spacing w:line="199" w:lineRule="auto" w:before="45"/>
              <w:ind w:left="36" w:right="123"/>
              <w:jc w:val="left"/>
              <w:rPr>
                <w:sz w:val="20"/>
              </w:rPr>
            </w:pPr>
            <w:r>
              <w:rPr>
                <w:sz w:val="20"/>
              </w:rPr>
              <w:t>アメリカやＥＵの本格的な回復がなければ、今の現状は変わらないと思う。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240" w:lineRule="auto" w:before="119"/>
              <w:ind w:left="36"/>
              <w:jc w:val="left"/>
              <w:rPr>
                <w:sz w:val="20"/>
              </w:rPr>
            </w:pPr>
            <w:r>
              <w:rPr>
                <w:sz w:val="20"/>
              </w:rPr>
              <w:t>数カ月では、良くなるような環境ではないと思われる。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飲料品製造</w:t>
            </w:r>
          </w:p>
        </w:tc>
        <w:tc>
          <w:tcPr>
            <w:tcW w:w="5810" w:type="dxa"/>
          </w:tcPr>
          <w:p>
            <w:pPr>
              <w:pStyle w:val="TableParagraph"/>
              <w:spacing w:line="240" w:lineRule="auto" w:before="119"/>
              <w:ind w:left="36"/>
              <w:jc w:val="left"/>
              <w:rPr>
                <w:sz w:val="20"/>
              </w:rPr>
            </w:pPr>
            <w:r>
              <w:rPr>
                <w:sz w:val="20"/>
              </w:rPr>
              <w:t>地元の酒類卸売業２社、姿を消します。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紙・パルプ製造</w:t>
            </w:r>
          </w:p>
        </w:tc>
        <w:tc>
          <w:tcPr>
            <w:tcW w:w="5810" w:type="dxa"/>
          </w:tcPr>
          <w:p>
            <w:pPr>
              <w:pStyle w:val="TableParagraph"/>
              <w:spacing w:line="240" w:lineRule="auto" w:before="119"/>
              <w:ind w:left="36"/>
              <w:jc w:val="left"/>
              <w:rPr>
                <w:sz w:val="20"/>
              </w:rPr>
            </w:pPr>
            <w:r>
              <w:rPr>
                <w:sz w:val="20"/>
              </w:rPr>
              <w:t>先行きに好材料があまり見当たらないため。</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494" w:right="29" w:hanging="399"/>
              <w:jc w:val="left"/>
              <w:rPr>
                <w:sz w:val="20"/>
              </w:rPr>
            </w:pPr>
            <w:r>
              <w:rPr>
                <w:sz w:val="20"/>
              </w:rPr>
              <w:t>電気機械製造</w:t>
            </w:r>
          </w:p>
        </w:tc>
        <w:tc>
          <w:tcPr>
            <w:tcW w:w="5810" w:type="dxa"/>
          </w:tcPr>
          <w:p>
            <w:pPr>
              <w:pStyle w:val="TableParagraph"/>
              <w:spacing w:line="199" w:lineRule="auto" w:before="93"/>
              <w:ind w:left="36" w:right="173"/>
              <w:jc w:val="left"/>
              <w:rPr>
                <w:sz w:val="20"/>
              </w:rPr>
            </w:pPr>
            <w:r>
              <w:rPr>
                <w:spacing w:val="-3"/>
                <w:sz w:val="20"/>
              </w:rPr>
              <w:t>新しい時代に向けて、改革はやっているが、まだまだスロー  ペース（客先も我々も）。改革が実を結び、形になって現れるまで１～２年はかかりそうだ。製造業は高度成長・大量生産の悪いクセが、未だに除去できていない。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23"/>
              <w:jc w:val="left"/>
              <w:rPr>
                <w:sz w:val="20"/>
              </w:rPr>
            </w:pPr>
            <w:r>
              <w:rPr>
                <w:sz w:val="20"/>
              </w:rPr>
              <w:t>悪い状況が継続しているものの、これ以上悪くなることも考えられない。</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雇用</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3"/>
              <w:jc w:val="both"/>
              <w:rPr>
                <w:sz w:val="20"/>
              </w:rPr>
            </w:pPr>
            <w:r>
              <w:rPr>
                <w:spacing w:val="-3"/>
                <w:sz w:val="20"/>
              </w:rPr>
              <w:t>新知事誕生により、雇用対策も本格化期待出来るものの、予算削減も見込まれるため、経済効果への波及はどの程度となるかわからない。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新聞社求人広告</w:t>
            </w:r>
          </w:p>
        </w:tc>
        <w:tc>
          <w:tcPr>
            <w:tcW w:w="5810" w:type="dxa"/>
          </w:tcPr>
          <w:p>
            <w:pPr>
              <w:pStyle w:val="TableParagraph"/>
              <w:spacing w:line="199" w:lineRule="auto" w:before="45"/>
              <w:ind w:left="36" w:right="123"/>
              <w:jc w:val="left"/>
              <w:rPr>
                <w:sz w:val="20"/>
              </w:rPr>
            </w:pPr>
            <w:r>
              <w:rPr>
                <w:sz w:val="20"/>
              </w:rPr>
              <w:t>大規模なイベントもなく、各業種とも内向きになっているように思える。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3"/>
              <w:jc w:val="both"/>
              <w:rPr>
                <w:sz w:val="20"/>
              </w:rPr>
            </w:pPr>
            <w:r>
              <w:rPr>
                <w:spacing w:val="-3"/>
                <w:sz w:val="20"/>
              </w:rPr>
              <w:t>最近の景気統計上はどのような傾向にあるか詳しくは存じませんが、景気の良くない期間が相当続いているためか、お客様の景気回復に対する期待感が薄れてきているような気がする。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jc w:val="left"/>
              <w:rPr>
                <w:sz w:val="20"/>
              </w:rPr>
            </w:pPr>
            <w:r>
              <w:rPr>
                <w:sz w:val="20"/>
              </w:rPr>
              <w:t>新聞社求人広告</w:t>
            </w:r>
          </w:p>
        </w:tc>
        <w:tc>
          <w:tcPr>
            <w:tcW w:w="5810" w:type="dxa"/>
          </w:tcPr>
          <w:p>
            <w:pPr>
              <w:pStyle w:val="TableParagraph"/>
              <w:spacing w:line="199" w:lineRule="auto" w:before="69"/>
              <w:ind w:left="36" w:right="173"/>
              <w:jc w:val="both"/>
              <w:rPr>
                <w:sz w:val="20"/>
              </w:rPr>
            </w:pPr>
            <w:r>
              <w:rPr>
                <w:spacing w:val="-3"/>
                <w:sz w:val="20"/>
              </w:rPr>
              <w:t>株価の上昇、長期金利の引き上げ等の動きが出て、この先に期待したいが、地方では、すぐ恩恵がなさそう。むしろ小売業の地方出店先の売上減少は深刻。まだ淘汰は続きそう。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240" w:lineRule="auto" w:before="119"/>
              <w:ind w:left="36"/>
              <w:jc w:val="left"/>
              <w:rPr>
                <w:sz w:val="20"/>
              </w:rPr>
            </w:pPr>
            <w:r>
              <w:rPr>
                <w:sz w:val="20"/>
              </w:rPr>
              <w:t>景気が良くなる材料がない。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新聞社求人広告</w:t>
            </w:r>
          </w:p>
        </w:tc>
        <w:tc>
          <w:tcPr>
            <w:tcW w:w="5810" w:type="dxa"/>
          </w:tcPr>
          <w:p>
            <w:pPr>
              <w:pStyle w:val="TableParagraph"/>
              <w:spacing w:line="199" w:lineRule="auto" w:before="45"/>
              <w:ind w:left="36" w:right="123"/>
              <w:jc w:val="left"/>
              <w:rPr>
                <w:sz w:val="20"/>
              </w:rPr>
            </w:pPr>
            <w:r>
              <w:rPr>
                <w:sz w:val="20"/>
              </w:rPr>
              <w:t>雇用不安や先行きの不透明感が強く、企業の設備投資の動きも見られない。個人消費も停滞のまま。</w:t>
            </w:r>
          </w:p>
        </w:tc>
      </w:tr>
      <w:tr>
        <w:trPr>
          <w:trHeight w:val="795"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3"/>
              <w:jc w:val="both"/>
              <w:rPr>
                <w:sz w:val="20"/>
              </w:rPr>
            </w:pPr>
            <w:r>
              <w:rPr>
                <w:spacing w:val="-3"/>
                <w:sz w:val="20"/>
              </w:rPr>
              <w:t>あつい夏があれば人出も多いし、あつければ飲み物も売れますが、今日も風もつめたく、人々の心もちょっと冷え込んでいるようです。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天気次第。</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93"/>
              <w:ind w:left="36" w:right="173"/>
              <w:jc w:val="left"/>
              <w:rPr>
                <w:sz w:val="20"/>
              </w:rPr>
            </w:pPr>
            <w:r>
              <w:rPr>
                <w:spacing w:val="-3"/>
                <w:sz w:val="20"/>
              </w:rPr>
              <w:t>旅行業においては、ＳＡＲＳ問題等々で現状維持もできませ  ん。必ずしも、海外旅行から国内旅行へと旅行需要がシフトはしていません。ますます落ち込むことがよそうされ、ひたすら耐えるしかありません。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車券売上が増える要素が見あたらない。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良くなりそうなデータが殆どない。</w:t>
            </w:r>
          </w:p>
        </w:tc>
      </w:tr>
    </w:tbl>
    <w:p>
      <w:pPr>
        <w:spacing w:after="0" w:line="240" w:lineRule="auto"/>
        <w:jc w:val="left"/>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40" w:right="405"/>
              <w:jc w:val="center"/>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2"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3"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318"/>
              <w:jc w:val="left"/>
              <w:rPr>
                <w:sz w:val="22"/>
              </w:rPr>
            </w:pPr>
            <w:r>
              <w:rPr>
                <w:sz w:val="22"/>
              </w:rPr>
              <w:t>やや悪い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240" w:lineRule="auto" w:before="119"/>
              <w:ind w:left="36"/>
              <w:jc w:val="left"/>
              <w:rPr>
                <w:sz w:val="20"/>
              </w:rPr>
            </w:pPr>
            <w:r>
              <w:rPr>
                <w:sz w:val="20"/>
              </w:rPr>
              <w:t>予約が例年に比べて少ない。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お客様の景気が回復する事を望みますが、多分ないと思う。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199" w:lineRule="auto" w:before="45"/>
              <w:ind w:left="36" w:right="123"/>
              <w:jc w:val="left"/>
              <w:rPr>
                <w:sz w:val="20"/>
              </w:rPr>
            </w:pPr>
            <w:r>
              <w:rPr>
                <w:sz w:val="20"/>
              </w:rPr>
              <w:t>現状から見た商業環境において、３カ月ぐらいでの景気回復はほとんど期待できない。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出入業者及び知人等も仕事量の減少の話題になることが多い。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家電量販店</w:t>
            </w:r>
          </w:p>
        </w:tc>
        <w:tc>
          <w:tcPr>
            <w:tcW w:w="5810" w:type="dxa"/>
          </w:tcPr>
          <w:p>
            <w:pPr>
              <w:pStyle w:val="TableParagraph"/>
              <w:spacing w:line="199" w:lineRule="auto" w:before="69"/>
              <w:ind w:left="36" w:right="173"/>
              <w:jc w:val="left"/>
              <w:rPr>
                <w:sz w:val="20"/>
              </w:rPr>
            </w:pPr>
            <w:r>
              <w:rPr>
                <w:spacing w:val="-3"/>
                <w:sz w:val="20"/>
              </w:rPr>
              <w:t>公務員のボーナス支給後も、以前のように、ボーナス需要がない。ますます必要以外はお金を使わない傾向が強くなってい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良くなる材料がない。新しい知事に期待しております。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810" w:type="dxa"/>
          </w:tcPr>
          <w:p>
            <w:pPr>
              <w:pStyle w:val="TableParagraph"/>
              <w:spacing w:line="199" w:lineRule="auto" w:before="45"/>
              <w:ind w:left="36" w:right="123"/>
              <w:jc w:val="left"/>
              <w:rPr>
                <w:sz w:val="20"/>
              </w:rPr>
            </w:pPr>
            <w:r>
              <w:rPr>
                <w:sz w:val="20"/>
              </w:rPr>
              <w:t>社会保険料の負担増、発泡酒、たばこの税の値上げで、手取りが減少し、消費に影響してくるのでは？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199" w:lineRule="auto" w:before="45"/>
              <w:ind w:left="36" w:right="123"/>
              <w:jc w:val="left"/>
              <w:rPr>
                <w:sz w:val="20"/>
              </w:rPr>
            </w:pPr>
            <w:r>
              <w:rPr>
                <w:sz w:val="20"/>
              </w:rPr>
              <w:t>タバコが増税になりましたが、消費税のアップ等への漠然とした不安から、物の買い控えの傾向が強まるのではと思う。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73"/>
              <w:jc w:val="both"/>
              <w:rPr>
                <w:sz w:val="20"/>
              </w:rPr>
            </w:pPr>
            <w:r>
              <w:rPr>
                <w:spacing w:val="-3"/>
                <w:sz w:val="20"/>
              </w:rPr>
              <w:t>県内大手倒産等による消費マインドの落ち込み。公共料金等のアップによる可処分所得の減少。県財政への不安（公務員がモノを買わなくなる）。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9"/>
              <w:ind w:left="36" w:right="173"/>
              <w:jc w:val="both"/>
              <w:rPr>
                <w:sz w:val="20"/>
              </w:rPr>
            </w:pPr>
            <w:r>
              <w:rPr>
                <w:spacing w:val="-3"/>
                <w:sz w:val="20"/>
              </w:rPr>
              <w:t>旧大手スーパーマーケットの開店が９月以降にずれこみ、活性ニュースがない。現実、来店頻度、客単価の低下等予断を許さない。文化行事も減っている（文化施設利用減）。</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乗用車販売</w:t>
            </w:r>
          </w:p>
        </w:tc>
        <w:tc>
          <w:tcPr>
            <w:tcW w:w="5810" w:type="dxa"/>
          </w:tcPr>
          <w:p>
            <w:pPr>
              <w:pStyle w:val="TableParagraph"/>
              <w:spacing w:line="199" w:lineRule="auto" w:before="69"/>
              <w:ind w:left="36" w:right="173"/>
              <w:jc w:val="both"/>
              <w:rPr>
                <w:sz w:val="20"/>
              </w:rPr>
            </w:pPr>
            <w:r>
              <w:rPr>
                <w:spacing w:val="-3"/>
                <w:sz w:val="20"/>
              </w:rPr>
              <w:t>国債が急落し、国債バブルは崩壊寸前で、不景気の道を歩き始めていると思う。長期金利が短期的に上昇したとはいえ、１％ 台という事は経済の好転は、まだ見込めないという事だ。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199" w:lineRule="auto" w:before="45"/>
              <w:ind w:left="36" w:right="123"/>
              <w:jc w:val="left"/>
              <w:rPr>
                <w:sz w:val="20"/>
              </w:rPr>
            </w:pPr>
            <w:r>
              <w:rPr>
                <w:sz w:val="20"/>
              </w:rPr>
              <w:t>景気の先行き見通しは明るい材料が見られず、生活不安、雇用不安等を抱え、消費需要が低迷してきている。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良くなりそうな要因が見当たらない。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卸売業</w:t>
            </w:r>
          </w:p>
        </w:tc>
        <w:tc>
          <w:tcPr>
            <w:tcW w:w="5810" w:type="dxa"/>
          </w:tcPr>
          <w:p>
            <w:pPr>
              <w:pStyle w:val="TableParagraph"/>
              <w:spacing w:line="199" w:lineRule="auto" w:before="69"/>
              <w:ind w:left="36" w:right="173"/>
              <w:jc w:val="left"/>
              <w:rPr>
                <w:sz w:val="20"/>
              </w:rPr>
            </w:pPr>
            <w:r>
              <w:rPr>
                <w:spacing w:val="-3"/>
                <w:sz w:val="20"/>
              </w:rPr>
              <w:t>景気回復となる材料が身近で感じられない。商売は、天候に左右されるため、今の状況から判断すれば、夏も短い感じがす  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199" w:lineRule="auto" w:before="45"/>
              <w:ind w:left="36" w:right="123"/>
              <w:jc w:val="left"/>
              <w:rPr>
                <w:sz w:val="20"/>
              </w:rPr>
            </w:pPr>
            <w:r>
              <w:rPr>
                <w:sz w:val="20"/>
              </w:rPr>
              <w:t>公共事業が出てこないと、むつ下北の景気は良くならないと思います。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3"/>
              <w:jc w:val="left"/>
              <w:rPr>
                <w:sz w:val="20"/>
              </w:rPr>
            </w:pPr>
            <w:r>
              <w:rPr>
                <w:spacing w:val="-3"/>
                <w:sz w:val="20"/>
              </w:rPr>
              <w:t>一般企業のボーナスカット及び減給が７月、８月は響くと思います。これに天候不順が重なっており、衣料品、食料品だけではなく、他業種にも影響は出ると思います。景気の悪い時こ  そ、四季はきっちり移り変わってほしいものです。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199" w:lineRule="auto" w:before="45"/>
              <w:ind w:left="36" w:right="123"/>
              <w:jc w:val="left"/>
              <w:rPr>
                <w:sz w:val="20"/>
              </w:rPr>
            </w:pPr>
            <w:r>
              <w:rPr>
                <w:sz w:val="20"/>
              </w:rPr>
              <w:t>ボーナスの減額等により消費マインドの低下が、今後、ますます予想されるため。</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企業</w:t>
            </w:r>
          </w:p>
        </w:tc>
        <w:tc>
          <w:tcPr>
            <w:tcW w:w="511" w:type="dxa"/>
          </w:tcPr>
          <w:p>
            <w:pPr>
              <w:pStyle w:val="TableParagraph"/>
              <w:ind w:left="64"/>
              <w:jc w:val="left"/>
              <w:rPr>
                <w:sz w:val="20"/>
              </w:rPr>
            </w:pPr>
            <w:r>
              <w:rPr>
                <w:sz w:val="20"/>
              </w:rPr>
              <w:t>津軽</w:t>
            </w: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23"/>
              <w:jc w:val="left"/>
              <w:rPr>
                <w:sz w:val="20"/>
              </w:rPr>
            </w:pPr>
            <w:r>
              <w:rPr>
                <w:sz w:val="20"/>
              </w:rPr>
              <w:t>県財政の健全化が主となり、諸事業も縮小方向に有る。このことにより民間企業が更に守りの姿勢に入る事を恐れる。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jc w:val="left"/>
              <w:rPr>
                <w:sz w:val="20"/>
              </w:rPr>
            </w:pPr>
            <w:r>
              <w:rPr>
                <w:sz w:val="20"/>
              </w:rPr>
              <w:t>具体的な景気対策が実施されない限り、景気悪化の歯止めがきかないと思われる。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3"/>
              <w:jc w:val="both"/>
              <w:rPr>
                <w:sz w:val="20"/>
              </w:rPr>
            </w:pPr>
            <w:r>
              <w:rPr>
                <w:spacing w:val="-3"/>
                <w:sz w:val="20"/>
              </w:rPr>
              <w:t>県の財政厳しく、財政再建の必要性から公共工事削減が予想され、国の発注減と相まって、受注難の状況がさらに強くなるものと考える。</w:t>
            </w:r>
          </w:p>
        </w:tc>
      </w:tr>
      <w:tr>
        <w:trPr>
          <w:trHeight w:val="522" w:hRule="atLeast"/>
        </w:trPr>
        <w:tc>
          <w:tcPr>
            <w:tcW w:w="1505" w:type="dxa"/>
          </w:tcPr>
          <w:p>
            <w:pPr>
              <w:pStyle w:val="TableParagraph"/>
              <w:spacing w:line="254" w:lineRule="exact"/>
              <w:ind w:left="440" w:right="405"/>
              <w:jc w:val="center"/>
              <w:rPr>
                <w:sz w:val="22"/>
              </w:rPr>
            </w:pPr>
            <w:r>
              <w:rPr>
                <w:sz w:val="22"/>
              </w:rPr>
              <w:t>悪い</w:t>
            </w:r>
          </w:p>
        </w:tc>
        <w:tc>
          <w:tcPr>
            <w:tcW w:w="511" w:type="dxa"/>
          </w:tcPr>
          <w:p>
            <w:pPr>
              <w:pStyle w:val="TableParagraph"/>
              <w:ind w:left="42" w:right="7"/>
              <w:jc w:val="center"/>
              <w:rPr>
                <w:sz w:val="20"/>
              </w:rPr>
            </w:pPr>
            <w:r>
              <w:rPr>
                <w:sz w:val="20"/>
              </w:rPr>
              <w:t>家計</w:t>
            </w:r>
          </w:p>
        </w:tc>
        <w:tc>
          <w:tcPr>
            <w:tcW w:w="511" w:type="dxa"/>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240" w:lineRule="auto" w:before="119"/>
              <w:ind w:left="36"/>
              <w:jc w:val="left"/>
              <w:rPr>
                <w:sz w:val="20"/>
              </w:rPr>
            </w:pPr>
            <w:r>
              <w:rPr>
                <w:sz w:val="20"/>
              </w:rPr>
              <w:t>老舗百貨店の跡地利用計画の不透明さ。</w:t>
            </w:r>
          </w:p>
        </w:tc>
      </w:tr>
    </w:tbl>
    <w:p>
      <w:pPr>
        <w:spacing w:after="0" w:line="240" w:lineRule="auto"/>
        <w:jc w:val="left"/>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7"/>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3"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54" w:lineRule="exact"/>
              <w:ind w:left="440" w:right="405"/>
              <w:jc w:val="center"/>
              <w:rPr>
                <w:sz w:val="22"/>
              </w:rPr>
            </w:pPr>
            <w:r>
              <w:rPr>
                <w:sz w:val="22"/>
              </w:rPr>
              <w:t>悪い</w:t>
            </w:r>
          </w:p>
        </w:tc>
        <w:tc>
          <w:tcPr>
            <w:tcW w:w="511" w:type="dxa"/>
            <w:vMerge w:val="restart"/>
          </w:tcPr>
          <w:p>
            <w:pPr>
              <w:pStyle w:val="TableParagraph"/>
              <w:ind w:left="64"/>
              <w:jc w:val="left"/>
              <w:rPr>
                <w:sz w:val="20"/>
              </w:rPr>
            </w:pPr>
            <w:r>
              <w:rPr>
                <w:sz w:val="20"/>
              </w:rPr>
              <w:t>家計</w:t>
            </w:r>
          </w:p>
        </w:tc>
        <w:tc>
          <w:tcPr>
            <w:tcW w:w="511" w:type="dxa"/>
            <w:vMerge w:val="restart"/>
          </w:tcPr>
          <w:p>
            <w:pPr>
              <w:pStyle w:val="TableParagraph"/>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底が見えない。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199" w:lineRule="auto" w:before="45"/>
              <w:ind w:left="36" w:right="123"/>
              <w:jc w:val="left"/>
              <w:rPr>
                <w:sz w:val="20"/>
              </w:rPr>
            </w:pPr>
            <w:r>
              <w:rPr>
                <w:sz w:val="20"/>
              </w:rPr>
              <w:t>社会の現状、収入減、失業等による消費減がまだ続き、全ての業種にまわりまわり、当業界へも波及している。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23"/>
              <w:jc w:val="left"/>
              <w:rPr>
                <w:sz w:val="20"/>
              </w:rPr>
            </w:pPr>
            <w:r>
              <w:rPr>
                <w:sz w:val="20"/>
              </w:rPr>
              <w:t>お客様の出足が悪い。お天気が悪くて、特に農家の方々に影響があると思う。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23"/>
              <w:jc w:val="left"/>
              <w:rPr>
                <w:sz w:val="20"/>
              </w:rPr>
            </w:pPr>
            <w:r>
              <w:rPr>
                <w:sz w:val="20"/>
              </w:rPr>
              <w:t>好転の材料が見当たらない。株価の影響が反映するとも考えられない。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jc w:val="left"/>
              <w:rPr>
                <w:sz w:val="20"/>
              </w:rPr>
            </w:pPr>
            <w:r>
              <w:rPr>
                <w:sz w:val="20"/>
              </w:rPr>
              <w:t>増税、将来への期待がもてない。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jc w:val="left"/>
              <w:rPr>
                <w:sz w:val="20"/>
              </w:rPr>
            </w:pPr>
            <w:r>
              <w:rPr>
                <w:sz w:val="20"/>
              </w:rPr>
              <w:t>下北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23"/>
              <w:jc w:val="left"/>
              <w:rPr>
                <w:sz w:val="20"/>
              </w:rPr>
            </w:pPr>
            <w:r>
              <w:rPr>
                <w:sz w:val="20"/>
              </w:rPr>
              <w:t>景気上向きな材料がない。貯蓄している人、もっとお金使ってください。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23"/>
              <w:jc w:val="left"/>
              <w:rPr>
                <w:sz w:val="20"/>
              </w:rPr>
            </w:pPr>
            <w:r>
              <w:rPr>
                <w:sz w:val="20"/>
              </w:rPr>
              <w:t>これから先、良くなる材料は何もありません。悪くなる一方だと思います。</w:t>
            </w:r>
          </w:p>
        </w:tc>
      </w:tr>
    </w:tbl>
    <w:p>
      <w:pPr>
        <w:spacing w:after="0" w:line="199" w:lineRule="auto"/>
        <w:jc w:val="left"/>
        <w:rPr>
          <w:sz w:val="20"/>
        </w:rPr>
        <w:sectPr>
          <w:pgSz w:w="11900" w:h="16840"/>
          <w:pgMar w:header="0" w:footer="765" w:top="1420" w:bottom="960" w:left="1000" w:right="1060"/>
        </w:sectPr>
      </w:pPr>
    </w:p>
    <w:p>
      <w:pPr>
        <w:spacing w:before="90"/>
        <w:ind w:left="192" w:right="0" w:firstLine="0"/>
        <w:jc w:val="left"/>
        <w:rPr>
          <w:sz w:val="27"/>
        </w:rPr>
      </w:pPr>
      <w:r>
        <w:rPr>
          <w:w w:val="105"/>
          <w:sz w:val="27"/>
        </w:rPr>
        <w:t>５．参考</w:t>
      </w:r>
    </w:p>
    <w:p>
      <w:pPr>
        <w:pStyle w:val="BodyText"/>
        <w:spacing w:before="3"/>
        <w:rPr>
          <w:sz w:val="25"/>
        </w:rPr>
      </w:pPr>
    </w:p>
    <w:p>
      <w:pPr>
        <w:pStyle w:val="Heading4"/>
        <w:spacing w:line="240" w:lineRule="auto"/>
      </w:pPr>
      <w:r>
        <w:rPr>
          <w:w w:val="105"/>
        </w:rPr>
        <w:t>（参考１）景気の現状判断</w:t>
      </w:r>
    </w:p>
    <w:p>
      <w:pPr>
        <w:pStyle w:val="BodyText"/>
        <w:spacing w:before="12"/>
        <w:rPr>
          <w:sz w:val="24"/>
        </w:rPr>
      </w:pPr>
    </w:p>
    <w:p>
      <w:pPr>
        <w:pStyle w:val="BodyText"/>
        <w:ind w:left="394"/>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358"/>
        <w:gridCol w:w="1421"/>
        <w:gridCol w:w="1395"/>
        <w:gridCol w:w="1395"/>
        <w:gridCol w:w="1395"/>
        <w:gridCol w:w="1395"/>
        <w:gridCol w:w="1395"/>
      </w:tblGrid>
      <w:tr>
        <w:trPr>
          <w:trHeight w:val="248" w:hRule="atLeast"/>
        </w:trPr>
        <w:tc>
          <w:tcPr>
            <w:tcW w:w="2137" w:type="dxa"/>
            <w:gridSpan w:val="3"/>
            <w:vMerge w:val="restart"/>
            <w:tcBorders>
              <w:top w:val="nil"/>
              <w:left w:val="nil"/>
            </w:tcBorders>
          </w:tcPr>
          <w:p>
            <w:pPr>
              <w:pStyle w:val="TableParagraph"/>
              <w:spacing w:line="250" w:lineRule="exact"/>
              <w:ind w:left="405"/>
              <w:jc w:val="left"/>
              <w:rPr>
                <w:sz w:val="22"/>
              </w:rPr>
            </w:pPr>
            <w:r>
              <w:rPr>
                <w:sz w:val="22"/>
              </w:rPr>
              <w:t>ｎ= 98</w:t>
            </w: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3"/>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3"/>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8"/>
              <w:rPr>
                <w:rFonts w:ascii="A-OTF Futo Go B101 Pr6N"/>
                <w:b/>
                <w:sz w:val="22"/>
              </w:rPr>
            </w:pPr>
            <w:r>
              <w:rPr>
                <w:rFonts w:ascii="A-OTF Futo Go B101 Pr6N"/>
                <w:b/>
                <w:w w:val="105"/>
                <w:sz w:val="22"/>
              </w:rPr>
              <w:t>21.7</w:t>
            </w:r>
          </w:p>
        </w:tc>
        <w:tc>
          <w:tcPr>
            <w:tcW w:w="1395" w:type="dxa"/>
          </w:tcPr>
          <w:p>
            <w:pPr>
              <w:pStyle w:val="TableParagraph"/>
              <w:ind w:right="131"/>
              <w:rPr>
                <w:rFonts w:ascii="A-OTF Futo Go B101 Pr6N"/>
                <w:b/>
                <w:sz w:val="22"/>
              </w:rPr>
            </w:pPr>
            <w:r>
              <w:rPr>
                <w:rFonts w:ascii="A-OTF Futo Go B101 Pr6N"/>
                <w:b/>
                <w:w w:val="105"/>
                <w:sz w:val="22"/>
              </w:rPr>
              <w:t>20.5</w:t>
            </w:r>
          </w:p>
        </w:tc>
        <w:tc>
          <w:tcPr>
            <w:tcW w:w="1395" w:type="dxa"/>
          </w:tcPr>
          <w:p>
            <w:pPr>
              <w:pStyle w:val="TableParagraph"/>
              <w:ind w:right="132"/>
              <w:rPr>
                <w:rFonts w:ascii="A-OTF Futo Go B101 Pr6N"/>
                <w:b/>
                <w:sz w:val="22"/>
              </w:rPr>
            </w:pPr>
            <w:r>
              <w:rPr>
                <w:rFonts w:ascii="A-OTF Futo Go B101 Pr6N"/>
                <w:b/>
                <w:w w:val="105"/>
                <w:sz w:val="22"/>
              </w:rPr>
              <w:t>16.1</w:t>
            </w:r>
          </w:p>
        </w:tc>
        <w:tc>
          <w:tcPr>
            <w:tcW w:w="1395" w:type="dxa"/>
          </w:tcPr>
          <w:p>
            <w:pPr>
              <w:pStyle w:val="TableParagraph"/>
              <w:ind w:right="133"/>
              <w:rPr>
                <w:rFonts w:ascii="A-OTF Futo Go B101 Pr6N"/>
                <w:b/>
                <w:sz w:val="22"/>
              </w:rPr>
            </w:pPr>
            <w:r>
              <w:rPr>
                <w:rFonts w:ascii="A-OTF Futo Go B101 Pr6N"/>
                <w:b/>
                <w:w w:val="105"/>
                <w:sz w:val="22"/>
              </w:rPr>
              <w:t>21.0</w:t>
            </w:r>
          </w:p>
        </w:tc>
        <w:tc>
          <w:tcPr>
            <w:tcW w:w="1395" w:type="dxa"/>
          </w:tcPr>
          <w:p>
            <w:pPr>
              <w:pStyle w:val="TableParagraph"/>
              <w:ind w:right="133"/>
              <w:rPr>
                <w:rFonts w:ascii="A-OTF Futo Go B101 Pr6N"/>
                <w:b/>
                <w:sz w:val="22"/>
              </w:rPr>
            </w:pPr>
            <w:r>
              <w:rPr>
                <w:rFonts w:ascii="A-OTF Futo Go B101 Pr6N"/>
                <w:b/>
                <w:w w:val="105"/>
                <w:sz w:val="22"/>
              </w:rPr>
              <w:t>21.2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gridSpan w:val="2"/>
            <w:tcBorders>
              <w:bottom w:val="nil"/>
            </w:tcBorders>
            <w:shd w:val="clear" w:color="auto" w:fill="CCFFCC"/>
          </w:tcPr>
          <w:p>
            <w:pPr>
              <w:pStyle w:val="TableParagraph"/>
              <w:ind w:left="37"/>
              <w:jc w:val="left"/>
              <w:rPr>
                <w:sz w:val="22"/>
              </w:rPr>
            </w:pPr>
            <w:r>
              <w:rPr>
                <w:sz w:val="22"/>
              </w:rPr>
              <w:t>家計関連</w:t>
            </w:r>
          </w:p>
        </w:tc>
        <w:tc>
          <w:tcPr>
            <w:tcW w:w="1395" w:type="dxa"/>
          </w:tcPr>
          <w:p>
            <w:pPr>
              <w:pStyle w:val="TableParagraph"/>
              <w:ind w:right="18"/>
              <w:rPr>
                <w:sz w:val="22"/>
              </w:rPr>
            </w:pPr>
            <w:r>
              <w:rPr>
                <w:sz w:val="22"/>
              </w:rPr>
              <w:t>21.9</w:t>
            </w:r>
          </w:p>
        </w:tc>
        <w:tc>
          <w:tcPr>
            <w:tcW w:w="1395" w:type="dxa"/>
          </w:tcPr>
          <w:p>
            <w:pPr>
              <w:pStyle w:val="TableParagraph"/>
              <w:ind w:right="129"/>
              <w:rPr>
                <w:sz w:val="22"/>
              </w:rPr>
            </w:pPr>
            <w:r>
              <w:rPr>
                <w:sz w:val="22"/>
              </w:rPr>
              <w:t>23.2</w:t>
            </w:r>
          </w:p>
        </w:tc>
        <w:tc>
          <w:tcPr>
            <w:tcW w:w="1395" w:type="dxa"/>
          </w:tcPr>
          <w:p>
            <w:pPr>
              <w:pStyle w:val="TableParagraph"/>
              <w:ind w:right="129"/>
              <w:rPr>
                <w:sz w:val="22"/>
              </w:rPr>
            </w:pPr>
            <w:r>
              <w:rPr>
                <w:sz w:val="22"/>
              </w:rPr>
              <w:t>16.9</w:t>
            </w:r>
          </w:p>
        </w:tc>
        <w:tc>
          <w:tcPr>
            <w:tcW w:w="1395" w:type="dxa"/>
          </w:tcPr>
          <w:p>
            <w:pPr>
              <w:pStyle w:val="TableParagraph"/>
              <w:ind w:right="130"/>
              <w:rPr>
                <w:sz w:val="22"/>
              </w:rPr>
            </w:pPr>
            <w:r>
              <w:rPr>
                <w:sz w:val="22"/>
              </w:rPr>
              <w:t>21.1</w:t>
            </w:r>
          </w:p>
        </w:tc>
        <w:tc>
          <w:tcPr>
            <w:tcW w:w="1395" w:type="dxa"/>
          </w:tcPr>
          <w:p>
            <w:pPr>
              <w:pStyle w:val="TableParagraph"/>
              <w:ind w:right="131"/>
              <w:rPr>
                <w:sz w:val="22"/>
              </w:rPr>
            </w:pPr>
            <w:r>
              <w:rPr>
                <w:sz w:val="22"/>
              </w:rPr>
              <w:t>19.9</w:t>
            </w:r>
          </w:p>
        </w:tc>
      </w:tr>
      <w:tr>
        <w:trPr>
          <w:trHeight w:val="248" w:hRule="atLeast"/>
        </w:trPr>
        <w:tc>
          <w:tcPr>
            <w:tcW w:w="358" w:type="dxa"/>
            <w:vMerge/>
            <w:tcBorders>
              <w:top w:val="nil"/>
            </w:tcBorders>
            <w:shd w:val="clear" w:color="auto" w:fill="CCFFCC"/>
          </w:tcPr>
          <w:p>
            <w:pPr>
              <w:rPr>
                <w:sz w:val="2"/>
                <w:szCs w:val="2"/>
              </w:rPr>
            </w:pPr>
          </w:p>
        </w:tc>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421" w:type="dxa"/>
            <w:shd w:val="clear" w:color="auto" w:fill="CCFFCC"/>
          </w:tcPr>
          <w:p>
            <w:pPr>
              <w:pStyle w:val="TableParagraph"/>
              <w:ind w:left="37"/>
              <w:jc w:val="left"/>
              <w:rPr>
                <w:sz w:val="22"/>
              </w:rPr>
            </w:pPr>
            <w:r>
              <w:rPr>
                <w:sz w:val="22"/>
              </w:rPr>
              <w:t>小売</w:t>
            </w:r>
          </w:p>
        </w:tc>
        <w:tc>
          <w:tcPr>
            <w:tcW w:w="1395" w:type="dxa"/>
          </w:tcPr>
          <w:p>
            <w:pPr>
              <w:pStyle w:val="TableParagraph"/>
              <w:ind w:right="18"/>
              <w:rPr>
                <w:sz w:val="22"/>
              </w:rPr>
            </w:pPr>
            <w:r>
              <w:rPr>
                <w:sz w:val="22"/>
              </w:rPr>
              <w:t>20.7</w:t>
            </w:r>
          </w:p>
        </w:tc>
        <w:tc>
          <w:tcPr>
            <w:tcW w:w="1395" w:type="dxa"/>
          </w:tcPr>
          <w:p>
            <w:pPr>
              <w:pStyle w:val="TableParagraph"/>
              <w:ind w:right="129"/>
              <w:rPr>
                <w:sz w:val="22"/>
              </w:rPr>
            </w:pPr>
            <w:r>
              <w:rPr>
                <w:sz w:val="22"/>
              </w:rPr>
              <w:t>25.9</w:t>
            </w:r>
          </w:p>
        </w:tc>
        <w:tc>
          <w:tcPr>
            <w:tcW w:w="1395" w:type="dxa"/>
          </w:tcPr>
          <w:p>
            <w:pPr>
              <w:pStyle w:val="TableParagraph"/>
              <w:ind w:right="129"/>
              <w:rPr>
                <w:sz w:val="22"/>
              </w:rPr>
            </w:pPr>
            <w:r>
              <w:rPr>
                <w:sz w:val="22"/>
              </w:rPr>
              <w:t>18.3</w:t>
            </w:r>
          </w:p>
        </w:tc>
        <w:tc>
          <w:tcPr>
            <w:tcW w:w="1395" w:type="dxa"/>
          </w:tcPr>
          <w:p>
            <w:pPr>
              <w:pStyle w:val="TableParagraph"/>
              <w:ind w:right="130"/>
              <w:rPr>
                <w:sz w:val="22"/>
              </w:rPr>
            </w:pPr>
            <w:r>
              <w:rPr>
                <w:sz w:val="22"/>
              </w:rPr>
              <w:t>21.7</w:t>
            </w:r>
          </w:p>
        </w:tc>
        <w:tc>
          <w:tcPr>
            <w:tcW w:w="1395" w:type="dxa"/>
          </w:tcPr>
          <w:p>
            <w:pPr>
              <w:pStyle w:val="TableParagraph"/>
              <w:ind w:right="131"/>
              <w:rPr>
                <w:sz w:val="22"/>
              </w:rPr>
            </w:pPr>
            <w:r>
              <w:rPr>
                <w:sz w:val="22"/>
              </w:rPr>
              <w:t>19.2</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飲食</w:t>
            </w:r>
          </w:p>
        </w:tc>
        <w:tc>
          <w:tcPr>
            <w:tcW w:w="1395" w:type="dxa"/>
          </w:tcPr>
          <w:p>
            <w:pPr>
              <w:pStyle w:val="TableParagraph"/>
              <w:ind w:right="18"/>
              <w:rPr>
                <w:sz w:val="22"/>
              </w:rPr>
            </w:pPr>
            <w:r>
              <w:rPr>
                <w:sz w:val="22"/>
              </w:rPr>
              <w:t>25.0</w:t>
            </w:r>
          </w:p>
        </w:tc>
        <w:tc>
          <w:tcPr>
            <w:tcW w:w="1395" w:type="dxa"/>
          </w:tcPr>
          <w:p>
            <w:pPr>
              <w:pStyle w:val="TableParagraph"/>
              <w:ind w:right="129"/>
              <w:rPr>
                <w:sz w:val="22"/>
              </w:rPr>
            </w:pPr>
            <w:r>
              <w:rPr>
                <w:sz w:val="22"/>
              </w:rPr>
              <w:t>20.8</w:t>
            </w:r>
          </w:p>
        </w:tc>
        <w:tc>
          <w:tcPr>
            <w:tcW w:w="1395" w:type="dxa"/>
          </w:tcPr>
          <w:p>
            <w:pPr>
              <w:pStyle w:val="TableParagraph"/>
              <w:ind w:right="129"/>
              <w:rPr>
                <w:sz w:val="22"/>
              </w:rPr>
            </w:pPr>
            <w:r>
              <w:rPr>
                <w:sz w:val="22"/>
              </w:rPr>
              <w:t>22.2</w:t>
            </w:r>
          </w:p>
        </w:tc>
        <w:tc>
          <w:tcPr>
            <w:tcW w:w="1395" w:type="dxa"/>
          </w:tcPr>
          <w:p>
            <w:pPr>
              <w:pStyle w:val="TableParagraph"/>
              <w:ind w:right="130"/>
              <w:rPr>
                <w:sz w:val="22"/>
              </w:rPr>
            </w:pPr>
            <w:r>
              <w:rPr>
                <w:sz w:val="22"/>
              </w:rPr>
              <w:t>25.0</w:t>
            </w:r>
          </w:p>
        </w:tc>
        <w:tc>
          <w:tcPr>
            <w:tcW w:w="1395" w:type="dxa"/>
          </w:tcPr>
          <w:p>
            <w:pPr>
              <w:pStyle w:val="TableParagraph"/>
              <w:ind w:right="131"/>
              <w:rPr>
                <w:sz w:val="22"/>
              </w:rPr>
            </w:pPr>
            <w:r>
              <w:rPr>
                <w:sz w:val="22"/>
              </w:rPr>
              <w:t>15.9</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サービス</w:t>
            </w:r>
          </w:p>
        </w:tc>
        <w:tc>
          <w:tcPr>
            <w:tcW w:w="1395" w:type="dxa"/>
          </w:tcPr>
          <w:p>
            <w:pPr>
              <w:pStyle w:val="TableParagraph"/>
              <w:ind w:right="18"/>
              <w:rPr>
                <w:sz w:val="22"/>
              </w:rPr>
            </w:pPr>
            <w:r>
              <w:rPr>
                <w:sz w:val="22"/>
              </w:rPr>
              <w:t>21.3</w:t>
            </w:r>
          </w:p>
        </w:tc>
        <w:tc>
          <w:tcPr>
            <w:tcW w:w="1395" w:type="dxa"/>
          </w:tcPr>
          <w:p>
            <w:pPr>
              <w:pStyle w:val="TableParagraph"/>
              <w:ind w:right="129"/>
              <w:rPr>
                <w:sz w:val="22"/>
              </w:rPr>
            </w:pPr>
            <w:r>
              <w:rPr>
                <w:sz w:val="22"/>
              </w:rPr>
              <w:t>22.1</w:t>
            </w:r>
          </w:p>
        </w:tc>
        <w:tc>
          <w:tcPr>
            <w:tcW w:w="1395" w:type="dxa"/>
          </w:tcPr>
          <w:p>
            <w:pPr>
              <w:pStyle w:val="TableParagraph"/>
              <w:ind w:right="129"/>
              <w:rPr>
                <w:sz w:val="22"/>
              </w:rPr>
            </w:pPr>
            <w:r>
              <w:rPr>
                <w:sz w:val="22"/>
              </w:rPr>
              <w:t>16.0</w:t>
            </w:r>
          </w:p>
        </w:tc>
        <w:tc>
          <w:tcPr>
            <w:tcW w:w="1395" w:type="dxa"/>
          </w:tcPr>
          <w:p>
            <w:pPr>
              <w:pStyle w:val="TableParagraph"/>
              <w:ind w:right="130"/>
              <w:rPr>
                <w:sz w:val="22"/>
              </w:rPr>
            </w:pPr>
            <w:r>
              <w:rPr>
                <w:sz w:val="22"/>
              </w:rPr>
              <w:t>18.8</w:t>
            </w:r>
          </w:p>
        </w:tc>
        <w:tc>
          <w:tcPr>
            <w:tcW w:w="1395" w:type="dxa"/>
          </w:tcPr>
          <w:p>
            <w:pPr>
              <w:pStyle w:val="TableParagraph"/>
              <w:ind w:right="131"/>
              <w:rPr>
                <w:sz w:val="22"/>
              </w:rPr>
            </w:pPr>
            <w:r>
              <w:rPr>
                <w:sz w:val="22"/>
              </w:rPr>
              <w:t>23.1</w:t>
            </w:r>
          </w:p>
        </w:tc>
      </w:tr>
      <w:tr>
        <w:trPr>
          <w:trHeight w:val="248" w:hRule="atLeast"/>
        </w:trPr>
        <w:tc>
          <w:tcPr>
            <w:tcW w:w="358" w:type="dxa"/>
            <w:vMerge/>
            <w:tcBorders>
              <w:top w:val="nil"/>
            </w:tcBorders>
            <w:shd w:val="clear" w:color="auto" w:fill="CCFFCC"/>
          </w:tcPr>
          <w:p>
            <w:pPr>
              <w:rPr>
                <w:sz w:val="2"/>
                <w:szCs w:val="2"/>
              </w:rPr>
            </w:pPr>
          </w:p>
        </w:tc>
        <w:tc>
          <w:tcPr>
            <w:tcW w:w="358" w:type="dxa"/>
            <w:vMerge/>
            <w:tcBorders>
              <w:top w:val="nil"/>
            </w:tcBorders>
            <w:shd w:val="clear" w:color="auto" w:fill="CCFFCC"/>
          </w:tcPr>
          <w:p>
            <w:pPr>
              <w:rPr>
                <w:sz w:val="2"/>
                <w:szCs w:val="2"/>
              </w:rPr>
            </w:pPr>
          </w:p>
        </w:tc>
        <w:tc>
          <w:tcPr>
            <w:tcW w:w="1421" w:type="dxa"/>
            <w:shd w:val="clear" w:color="auto" w:fill="CCFFCC"/>
          </w:tcPr>
          <w:p>
            <w:pPr>
              <w:pStyle w:val="TableParagraph"/>
              <w:ind w:left="37"/>
              <w:jc w:val="left"/>
              <w:rPr>
                <w:sz w:val="22"/>
              </w:rPr>
            </w:pPr>
            <w:r>
              <w:rPr>
                <w:sz w:val="22"/>
              </w:rPr>
              <w:t>住宅</w:t>
            </w:r>
          </w:p>
        </w:tc>
        <w:tc>
          <w:tcPr>
            <w:tcW w:w="1395" w:type="dxa"/>
          </w:tcPr>
          <w:p>
            <w:pPr>
              <w:pStyle w:val="TableParagraph"/>
              <w:ind w:right="18"/>
              <w:rPr>
                <w:sz w:val="22"/>
              </w:rPr>
            </w:pPr>
            <w:r>
              <w:rPr>
                <w:sz w:val="22"/>
              </w:rPr>
              <w:t>25.0</w:t>
            </w:r>
          </w:p>
        </w:tc>
        <w:tc>
          <w:tcPr>
            <w:tcW w:w="1395" w:type="dxa"/>
          </w:tcPr>
          <w:p>
            <w:pPr>
              <w:pStyle w:val="TableParagraph"/>
              <w:ind w:right="129"/>
              <w:rPr>
                <w:sz w:val="22"/>
              </w:rPr>
            </w:pPr>
            <w:r>
              <w:rPr>
                <w:sz w:val="22"/>
              </w:rPr>
              <w:t>20.8</w:t>
            </w:r>
          </w:p>
        </w:tc>
        <w:tc>
          <w:tcPr>
            <w:tcW w:w="1395" w:type="dxa"/>
          </w:tcPr>
          <w:p>
            <w:pPr>
              <w:pStyle w:val="TableParagraph"/>
              <w:ind w:right="129"/>
              <w:rPr>
                <w:sz w:val="22"/>
              </w:rPr>
            </w:pPr>
            <w:r>
              <w:rPr>
                <w:w w:val="105"/>
                <w:sz w:val="22"/>
              </w:rPr>
              <w:t>5.0</w:t>
            </w:r>
          </w:p>
        </w:tc>
        <w:tc>
          <w:tcPr>
            <w:tcW w:w="1395" w:type="dxa"/>
          </w:tcPr>
          <w:p>
            <w:pPr>
              <w:pStyle w:val="TableParagraph"/>
              <w:ind w:right="130"/>
              <w:rPr>
                <w:sz w:val="22"/>
              </w:rPr>
            </w:pPr>
            <w:r>
              <w:rPr>
                <w:sz w:val="22"/>
              </w:rPr>
              <w:t>20.0</w:t>
            </w:r>
          </w:p>
        </w:tc>
        <w:tc>
          <w:tcPr>
            <w:tcW w:w="1395" w:type="dxa"/>
          </w:tcPr>
          <w:p>
            <w:pPr>
              <w:pStyle w:val="TableParagraph"/>
              <w:ind w:right="131"/>
              <w:rPr>
                <w:sz w:val="22"/>
              </w:rPr>
            </w:pPr>
            <w:r>
              <w:rPr>
                <w:sz w:val="22"/>
              </w:rPr>
              <w:t>16.7</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企業関連</w:t>
            </w:r>
          </w:p>
        </w:tc>
        <w:tc>
          <w:tcPr>
            <w:tcW w:w="1395" w:type="dxa"/>
          </w:tcPr>
          <w:p>
            <w:pPr>
              <w:pStyle w:val="TableParagraph"/>
              <w:ind w:right="18"/>
              <w:rPr>
                <w:sz w:val="22"/>
              </w:rPr>
            </w:pPr>
            <w:r>
              <w:rPr>
                <w:sz w:val="22"/>
              </w:rPr>
              <w:t>15.3</w:t>
            </w:r>
          </w:p>
        </w:tc>
        <w:tc>
          <w:tcPr>
            <w:tcW w:w="1395" w:type="dxa"/>
          </w:tcPr>
          <w:p>
            <w:pPr>
              <w:pStyle w:val="TableParagraph"/>
              <w:ind w:right="129"/>
              <w:rPr>
                <w:sz w:val="22"/>
              </w:rPr>
            </w:pPr>
            <w:r>
              <w:rPr>
                <w:w w:val="105"/>
                <w:sz w:val="22"/>
              </w:rPr>
              <w:t>9.7</w:t>
            </w:r>
          </w:p>
        </w:tc>
        <w:tc>
          <w:tcPr>
            <w:tcW w:w="1395" w:type="dxa"/>
          </w:tcPr>
          <w:p>
            <w:pPr>
              <w:pStyle w:val="TableParagraph"/>
              <w:ind w:right="129"/>
              <w:rPr>
                <w:sz w:val="22"/>
              </w:rPr>
            </w:pPr>
            <w:r>
              <w:rPr>
                <w:sz w:val="22"/>
              </w:rPr>
              <w:t>13.9</w:t>
            </w:r>
          </w:p>
        </w:tc>
        <w:tc>
          <w:tcPr>
            <w:tcW w:w="1395" w:type="dxa"/>
          </w:tcPr>
          <w:p>
            <w:pPr>
              <w:pStyle w:val="TableParagraph"/>
              <w:ind w:right="130"/>
              <w:rPr>
                <w:sz w:val="22"/>
              </w:rPr>
            </w:pPr>
            <w:r>
              <w:rPr>
                <w:sz w:val="22"/>
              </w:rPr>
              <w:t>21.9</w:t>
            </w:r>
          </w:p>
        </w:tc>
        <w:tc>
          <w:tcPr>
            <w:tcW w:w="1395" w:type="dxa"/>
          </w:tcPr>
          <w:p>
            <w:pPr>
              <w:pStyle w:val="TableParagraph"/>
              <w:ind w:right="131"/>
              <w:rPr>
                <w:sz w:val="22"/>
              </w:rPr>
            </w:pPr>
            <w:r>
              <w:rPr>
                <w:sz w:val="22"/>
              </w:rPr>
              <w:t>23.6</w:t>
            </w:r>
          </w:p>
        </w:tc>
      </w:tr>
      <w:tr>
        <w:trPr>
          <w:trHeight w:val="248" w:hRule="atLeast"/>
        </w:trPr>
        <w:tc>
          <w:tcPr>
            <w:tcW w:w="358" w:type="dxa"/>
            <w:vMerge/>
            <w:tcBorders>
              <w:top w:val="nil"/>
            </w:tcBorders>
            <w:shd w:val="clear" w:color="auto" w:fill="CCFFCC"/>
          </w:tcPr>
          <w:p>
            <w:pPr>
              <w:rPr>
                <w:sz w:val="2"/>
                <w:szCs w:val="2"/>
              </w:rPr>
            </w:pPr>
          </w:p>
        </w:tc>
        <w:tc>
          <w:tcPr>
            <w:tcW w:w="1779" w:type="dxa"/>
            <w:gridSpan w:val="2"/>
            <w:shd w:val="clear" w:color="auto" w:fill="CCFFCC"/>
          </w:tcPr>
          <w:p>
            <w:pPr>
              <w:pStyle w:val="TableParagraph"/>
              <w:ind w:left="37"/>
              <w:jc w:val="left"/>
              <w:rPr>
                <w:sz w:val="22"/>
              </w:rPr>
            </w:pPr>
            <w:r>
              <w:rPr>
                <w:sz w:val="22"/>
              </w:rPr>
              <w:t>雇用関連</w:t>
            </w:r>
          </w:p>
        </w:tc>
        <w:tc>
          <w:tcPr>
            <w:tcW w:w="1395" w:type="dxa"/>
          </w:tcPr>
          <w:p>
            <w:pPr>
              <w:pStyle w:val="TableParagraph"/>
              <w:ind w:right="18"/>
              <w:rPr>
                <w:sz w:val="22"/>
              </w:rPr>
            </w:pPr>
            <w:r>
              <w:rPr>
                <w:sz w:val="22"/>
              </w:rPr>
              <w:t>35.7</w:t>
            </w:r>
          </w:p>
        </w:tc>
        <w:tc>
          <w:tcPr>
            <w:tcW w:w="1395" w:type="dxa"/>
          </w:tcPr>
          <w:p>
            <w:pPr>
              <w:pStyle w:val="TableParagraph"/>
              <w:ind w:right="129"/>
              <w:rPr>
                <w:sz w:val="22"/>
              </w:rPr>
            </w:pPr>
            <w:r>
              <w:rPr>
                <w:sz w:val="22"/>
              </w:rPr>
              <w:t>20.8</w:t>
            </w:r>
          </w:p>
        </w:tc>
        <w:tc>
          <w:tcPr>
            <w:tcW w:w="1395" w:type="dxa"/>
          </w:tcPr>
          <w:p>
            <w:pPr>
              <w:pStyle w:val="TableParagraph"/>
              <w:ind w:right="129"/>
              <w:rPr>
                <w:sz w:val="22"/>
              </w:rPr>
            </w:pPr>
            <w:r>
              <w:rPr>
                <w:sz w:val="22"/>
              </w:rPr>
              <w:t>14.3</w:t>
            </w:r>
          </w:p>
        </w:tc>
        <w:tc>
          <w:tcPr>
            <w:tcW w:w="1395" w:type="dxa"/>
          </w:tcPr>
          <w:p>
            <w:pPr>
              <w:pStyle w:val="TableParagraph"/>
              <w:ind w:right="130"/>
              <w:rPr>
                <w:sz w:val="22"/>
              </w:rPr>
            </w:pPr>
            <w:r>
              <w:rPr>
                <w:sz w:val="22"/>
              </w:rPr>
              <w:t>17.9</w:t>
            </w:r>
          </w:p>
        </w:tc>
        <w:tc>
          <w:tcPr>
            <w:tcW w:w="1395" w:type="dxa"/>
          </w:tcPr>
          <w:p>
            <w:pPr>
              <w:pStyle w:val="TableParagraph"/>
              <w:ind w:right="131"/>
              <w:rPr>
                <w:sz w:val="22"/>
              </w:rPr>
            </w:pPr>
            <w:r>
              <w:rPr>
                <w:sz w:val="22"/>
              </w:rPr>
              <w:t>28.6</w:t>
            </w:r>
          </w:p>
        </w:tc>
      </w:tr>
    </w:tbl>
    <w:p>
      <w:pPr>
        <w:pStyle w:val="BodyText"/>
        <w:spacing w:before="224"/>
        <w:ind w:left="394"/>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36"/>
        <w:gridCol w:w="1394"/>
        <w:gridCol w:w="1394"/>
        <w:gridCol w:w="1394"/>
        <w:gridCol w:w="1394"/>
        <w:gridCol w:w="1394"/>
      </w:tblGrid>
      <w:tr>
        <w:trPr>
          <w:trHeight w:val="517" w:hRule="atLeast"/>
        </w:trPr>
        <w:tc>
          <w:tcPr>
            <w:tcW w:w="2136" w:type="dxa"/>
            <w:tcBorders>
              <w:top w:val="nil"/>
              <w:left w:val="nil"/>
            </w:tcBorders>
          </w:tcPr>
          <w:p>
            <w:pPr>
              <w:pStyle w:val="TableParagraph"/>
              <w:spacing w:line="240" w:lineRule="auto"/>
              <w:jc w:val="left"/>
              <w:rPr>
                <w:rFonts w:ascii="Times New Roman"/>
                <w:sz w:val="22"/>
              </w:rPr>
            </w:pPr>
          </w:p>
        </w:tc>
        <w:tc>
          <w:tcPr>
            <w:tcW w:w="1394" w:type="dxa"/>
            <w:shd w:val="clear" w:color="auto" w:fill="CCFFCC"/>
          </w:tcPr>
          <w:p>
            <w:pPr>
              <w:pStyle w:val="TableParagraph"/>
              <w:spacing w:line="401" w:lineRule="exact"/>
              <w:ind w:left="484"/>
              <w:jc w:val="left"/>
              <w:rPr>
                <w:rFonts w:ascii="A-OTF Futo Go B101 Pr6N" w:eastAsia="A-OTF Futo Go B101 Pr6N" w:hint="eastAsia"/>
                <w:b/>
                <w:sz w:val="22"/>
              </w:rPr>
            </w:pPr>
            <w:r>
              <w:rPr>
                <w:rFonts w:ascii="A-OTF Futo Go B101 Pr6N" w:eastAsia="A-OTF Futo Go B101 Pr6N" w:hint="eastAsia"/>
                <w:b/>
                <w:sz w:val="22"/>
              </w:rPr>
              <w:t>良い</w:t>
            </w:r>
          </w:p>
        </w:tc>
        <w:tc>
          <w:tcPr>
            <w:tcW w:w="1394" w:type="dxa"/>
            <w:shd w:val="clear" w:color="auto" w:fill="CCFFCC"/>
          </w:tcPr>
          <w:p>
            <w:pPr>
              <w:pStyle w:val="TableParagraph"/>
              <w:spacing w:line="401" w:lineRule="exact"/>
              <w:ind w:left="264"/>
              <w:jc w:val="left"/>
              <w:rPr>
                <w:rFonts w:ascii="A-OTF Futo Go B101 Pr6N" w:eastAsia="A-OTF Futo Go B101 Pr6N" w:hint="eastAsia"/>
                <w:b/>
                <w:sz w:val="22"/>
              </w:rPr>
            </w:pPr>
            <w:r>
              <w:rPr>
                <w:rFonts w:ascii="A-OTF Futo Go B101 Pr6N" w:eastAsia="A-OTF Futo Go B101 Pr6N" w:hint="eastAsia"/>
                <w:b/>
                <w:sz w:val="22"/>
              </w:rPr>
              <w:t>やや良い</w:t>
            </w:r>
          </w:p>
        </w:tc>
        <w:tc>
          <w:tcPr>
            <w:tcW w:w="1394" w:type="dxa"/>
            <w:shd w:val="clear" w:color="auto" w:fill="CCFFCC"/>
          </w:tcPr>
          <w:p>
            <w:pPr>
              <w:pStyle w:val="TableParagraph"/>
              <w:spacing w:line="86" w:lineRule="auto"/>
              <w:ind w:left="264" w:right="113" w:hanging="111"/>
              <w:jc w:val="left"/>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394" w:type="dxa"/>
            <w:shd w:val="clear" w:color="auto" w:fill="CCFFCC"/>
          </w:tcPr>
          <w:p>
            <w:pPr>
              <w:pStyle w:val="TableParagraph"/>
              <w:spacing w:line="401" w:lineRule="exact"/>
              <w:ind w:left="264"/>
              <w:jc w:val="left"/>
              <w:rPr>
                <w:rFonts w:ascii="A-OTF Futo Go B101 Pr6N" w:eastAsia="A-OTF Futo Go B101 Pr6N" w:hint="eastAsia"/>
                <w:b/>
                <w:sz w:val="22"/>
              </w:rPr>
            </w:pPr>
            <w:r>
              <w:rPr>
                <w:rFonts w:ascii="A-OTF Futo Go B101 Pr6N" w:eastAsia="A-OTF Futo Go B101 Pr6N" w:hint="eastAsia"/>
                <w:b/>
                <w:sz w:val="22"/>
              </w:rPr>
              <w:t>やや悪い</w:t>
            </w:r>
          </w:p>
        </w:tc>
        <w:tc>
          <w:tcPr>
            <w:tcW w:w="1394" w:type="dxa"/>
            <w:shd w:val="clear" w:color="auto" w:fill="CCFFCC"/>
          </w:tcPr>
          <w:p>
            <w:pPr>
              <w:pStyle w:val="TableParagraph"/>
              <w:spacing w:line="401" w:lineRule="exact"/>
              <w:ind w:left="486"/>
              <w:jc w:val="left"/>
              <w:rPr>
                <w:rFonts w:ascii="A-OTF Futo Go B101 Pr6N" w:eastAsia="A-OTF Futo Go B101 Pr6N" w:hint="eastAsia"/>
                <w:b/>
                <w:sz w:val="22"/>
              </w:rPr>
            </w:pPr>
            <w:r>
              <w:rPr>
                <w:rFonts w:ascii="A-OTF Futo Go B101 Pr6N" w:eastAsia="A-OTF Futo Go B101 Pr6N" w:hint="eastAsia"/>
                <w:b/>
                <w:sz w:val="22"/>
              </w:rPr>
              <w:t>悪い</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1.0</w:t>
            </w:r>
          </w:p>
        </w:tc>
        <w:tc>
          <w:tcPr>
            <w:tcW w:w="1394" w:type="dxa"/>
          </w:tcPr>
          <w:p>
            <w:pPr>
              <w:pStyle w:val="TableParagraph"/>
              <w:ind w:right="125"/>
              <w:rPr>
                <w:sz w:val="22"/>
              </w:rPr>
            </w:pPr>
            <w:r>
              <w:rPr>
                <w:sz w:val="22"/>
              </w:rPr>
              <w:t>25.5</w:t>
            </w:r>
          </w:p>
        </w:tc>
        <w:tc>
          <w:tcPr>
            <w:tcW w:w="1394" w:type="dxa"/>
          </w:tcPr>
          <w:p>
            <w:pPr>
              <w:pStyle w:val="TableParagraph"/>
              <w:ind w:right="125"/>
              <w:rPr>
                <w:sz w:val="22"/>
              </w:rPr>
            </w:pPr>
            <w:r>
              <w:rPr>
                <w:sz w:val="22"/>
              </w:rPr>
              <w:t>32.7</w:t>
            </w:r>
          </w:p>
        </w:tc>
        <w:tc>
          <w:tcPr>
            <w:tcW w:w="1394" w:type="dxa"/>
          </w:tcPr>
          <w:p>
            <w:pPr>
              <w:pStyle w:val="TableParagraph"/>
              <w:ind w:right="125"/>
              <w:rPr>
                <w:sz w:val="22"/>
              </w:rPr>
            </w:pPr>
            <w:r>
              <w:rPr>
                <w:sz w:val="22"/>
              </w:rPr>
              <w:t>40.8</w:t>
            </w:r>
          </w:p>
        </w:tc>
      </w:tr>
      <w:tr>
        <w:trPr>
          <w:trHeight w:val="248" w:hRule="atLeast"/>
        </w:trPr>
        <w:tc>
          <w:tcPr>
            <w:tcW w:w="2136" w:type="dxa"/>
            <w:shd w:val="clear" w:color="auto" w:fill="CCFFCC"/>
          </w:tcPr>
          <w:p>
            <w:pPr>
              <w:pStyle w:val="TableParagraph"/>
              <w:ind w:right="16"/>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4.2</w:t>
            </w:r>
          </w:p>
        </w:tc>
        <w:tc>
          <w:tcPr>
            <w:tcW w:w="1394" w:type="dxa"/>
          </w:tcPr>
          <w:p>
            <w:pPr>
              <w:pStyle w:val="TableParagraph"/>
              <w:ind w:right="125"/>
              <w:rPr>
                <w:sz w:val="22"/>
              </w:rPr>
            </w:pPr>
            <w:r>
              <w:rPr>
                <w:sz w:val="22"/>
              </w:rPr>
              <w:t>11.6</w:t>
            </w:r>
          </w:p>
        </w:tc>
        <w:tc>
          <w:tcPr>
            <w:tcW w:w="1394" w:type="dxa"/>
          </w:tcPr>
          <w:p>
            <w:pPr>
              <w:pStyle w:val="TableParagraph"/>
              <w:ind w:right="125"/>
              <w:rPr>
                <w:sz w:val="22"/>
              </w:rPr>
            </w:pPr>
            <w:r>
              <w:rPr>
                <w:sz w:val="22"/>
              </w:rPr>
              <w:t>46.3</w:t>
            </w:r>
          </w:p>
        </w:tc>
        <w:tc>
          <w:tcPr>
            <w:tcW w:w="1394" w:type="dxa"/>
          </w:tcPr>
          <w:p>
            <w:pPr>
              <w:pStyle w:val="TableParagraph"/>
              <w:ind w:right="125"/>
              <w:rPr>
                <w:sz w:val="22"/>
              </w:rPr>
            </w:pPr>
            <w:r>
              <w:rPr>
                <w:sz w:val="22"/>
              </w:rPr>
              <w:t>37.9</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2.2</w:t>
            </w:r>
          </w:p>
        </w:tc>
        <w:tc>
          <w:tcPr>
            <w:tcW w:w="1394" w:type="dxa"/>
          </w:tcPr>
          <w:p>
            <w:pPr>
              <w:pStyle w:val="TableParagraph"/>
              <w:ind w:right="125"/>
              <w:rPr>
                <w:sz w:val="22"/>
              </w:rPr>
            </w:pPr>
            <w:r>
              <w:rPr>
                <w:w w:val="105"/>
                <w:sz w:val="22"/>
              </w:rPr>
              <w:t>5.6</w:t>
            </w:r>
          </w:p>
        </w:tc>
        <w:tc>
          <w:tcPr>
            <w:tcW w:w="1394" w:type="dxa"/>
          </w:tcPr>
          <w:p>
            <w:pPr>
              <w:pStyle w:val="TableParagraph"/>
              <w:ind w:right="125"/>
              <w:rPr>
                <w:sz w:val="22"/>
              </w:rPr>
            </w:pPr>
            <w:r>
              <w:rPr>
                <w:sz w:val="22"/>
              </w:rPr>
              <w:t>46.7</w:t>
            </w:r>
          </w:p>
        </w:tc>
        <w:tc>
          <w:tcPr>
            <w:tcW w:w="1394" w:type="dxa"/>
          </w:tcPr>
          <w:p>
            <w:pPr>
              <w:pStyle w:val="TableParagraph"/>
              <w:ind w:right="125"/>
              <w:rPr>
                <w:sz w:val="22"/>
              </w:rPr>
            </w:pPr>
            <w:r>
              <w:rPr>
                <w:sz w:val="22"/>
              </w:rPr>
              <w:t>45.6</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3.2</w:t>
            </w:r>
          </w:p>
        </w:tc>
        <w:tc>
          <w:tcPr>
            <w:tcW w:w="1394" w:type="dxa"/>
          </w:tcPr>
          <w:p>
            <w:pPr>
              <w:pStyle w:val="TableParagraph"/>
              <w:ind w:right="125"/>
              <w:rPr>
                <w:sz w:val="22"/>
              </w:rPr>
            </w:pPr>
            <w:r>
              <w:rPr>
                <w:sz w:val="22"/>
              </w:rPr>
              <w:t>17.2</w:t>
            </w:r>
          </w:p>
        </w:tc>
        <w:tc>
          <w:tcPr>
            <w:tcW w:w="1394" w:type="dxa"/>
          </w:tcPr>
          <w:p>
            <w:pPr>
              <w:pStyle w:val="TableParagraph"/>
              <w:ind w:right="125"/>
              <w:rPr>
                <w:sz w:val="22"/>
              </w:rPr>
            </w:pPr>
            <w:r>
              <w:rPr>
                <w:sz w:val="22"/>
              </w:rPr>
              <w:t>39.8</w:t>
            </w:r>
          </w:p>
        </w:tc>
        <w:tc>
          <w:tcPr>
            <w:tcW w:w="1394" w:type="dxa"/>
          </w:tcPr>
          <w:p>
            <w:pPr>
              <w:pStyle w:val="TableParagraph"/>
              <w:ind w:right="125"/>
              <w:rPr>
                <w:sz w:val="22"/>
              </w:rPr>
            </w:pPr>
            <w:r>
              <w:rPr>
                <w:sz w:val="22"/>
              </w:rPr>
              <w:t>39.8</w:t>
            </w:r>
          </w:p>
        </w:tc>
      </w:tr>
      <w:tr>
        <w:trPr>
          <w:trHeight w:val="248" w:hRule="atLeast"/>
        </w:trPr>
        <w:tc>
          <w:tcPr>
            <w:tcW w:w="2136" w:type="dxa"/>
            <w:shd w:val="clear" w:color="auto" w:fill="CCFFCC"/>
          </w:tcPr>
          <w:p>
            <w:pPr>
              <w:pStyle w:val="TableParagraph"/>
              <w:tabs>
                <w:tab w:pos="1329" w:val="left" w:leader="none"/>
              </w:tabs>
              <w:ind w:right="16"/>
              <w:rPr>
                <w:rFonts w:ascii="A-OTF Futo Go B101 Pr6N" w:eastAsia="A-OTF Futo Go B101 Pr6N" w:hint="eastAsia"/>
                <w:b/>
                <w:sz w:val="22"/>
              </w:rPr>
            </w:pPr>
            <w:r>
              <w:rPr>
                <w:rFonts w:ascii="A-OTF Futo Go B101 Pr6N" w:eastAsia="A-OTF Futo Go B101 Pr6N" w:hint="eastAsia"/>
                <w:b/>
                <w:sz w:val="22"/>
              </w:rPr>
              <w:t>平成１５年</w:t>
              <w:tab/>
              <w:t>７月</w:t>
            </w:r>
          </w:p>
        </w:tc>
        <w:tc>
          <w:tcPr>
            <w:tcW w:w="1394" w:type="dxa"/>
          </w:tcPr>
          <w:p>
            <w:pPr>
              <w:pStyle w:val="TableParagraph"/>
              <w:ind w:right="126"/>
              <w:rPr>
                <w:sz w:val="22"/>
              </w:rPr>
            </w:pPr>
            <w:r>
              <w:rPr>
                <w:w w:val="105"/>
                <w:sz w:val="22"/>
              </w:rPr>
              <w:t>0.0</w:t>
            </w:r>
          </w:p>
        </w:tc>
        <w:tc>
          <w:tcPr>
            <w:tcW w:w="1394" w:type="dxa"/>
          </w:tcPr>
          <w:p>
            <w:pPr>
              <w:pStyle w:val="TableParagraph"/>
              <w:ind w:right="126"/>
              <w:rPr>
                <w:sz w:val="22"/>
              </w:rPr>
            </w:pPr>
            <w:r>
              <w:rPr>
                <w:w w:val="105"/>
                <w:sz w:val="22"/>
              </w:rPr>
              <w:t>0.0</w:t>
            </w:r>
          </w:p>
        </w:tc>
        <w:tc>
          <w:tcPr>
            <w:tcW w:w="1394" w:type="dxa"/>
          </w:tcPr>
          <w:p>
            <w:pPr>
              <w:pStyle w:val="TableParagraph"/>
              <w:ind w:right="125"/>
              <w:rPr>
                <w:sz w:val="22"/>
              </w:rPr>
            </w:pPr>
            <w:r>
              <w:rPr>
                <w:sz w:val="22"/>
              </w:rPr>
              <w:t>23.5</w:t>
            </w:r>
          </w:p>
        </w:tc>
        <w:tc>
          <w:tcPr>
            <w:tcW w:w="1394" w:type="dxa"/>
          </w:tcPr>
          <w:p>
            <w:pPr>
              <w:pStyle w:val="TableParagraph"/>
              <w:ind w:right="125"/>
              <w:rPr>
                <w:sz w:val="22"/>
              </w:rPr>
            </w:pPr>
            <w:r>
              <w:rPr>
                <w:sz w:val="22"/>
              </w:rPr>
              <w:t>37.8</w:t>
            </w:r>
          </w:p>
        </w:tc>
        <w:tc>
          <w:tcPr>
            <w:tcW w:w="1394" w:type="dxa"/>
          </w:tcPr>
          <w:p>
            <w:pPr>
              <w:pStyle w:val="TableParagraph"/>
              <w:ind w:right="125"/>
              <w:rPr>
                <w:sz w:val="22"/>
              </w:rPr>
            </w:pPr>
            <w:r>
              <w:rPr>
                <w:sz w:val="22"/>
              </w:rPr>
              <w:t>38.8</w:t>
            </w:r>
          </w:p>
        </w:tc>
      </w:tr>
    </w:tbl>
    <w:p>
      <w:pPr>
        <w:pStyle w:val="BodyText"/>
        <w:spacing w:before="224"/>
        <w:ind w:left="394"/>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
        <w:gridCol w:w="1779"/>
        <w:gridCol w:w="1395"/>
        <w:gridCol w:w="1395"/>
        <w:gridCol w:w="1395"/>
        <w:gridCol w:w="1395"/>
        <w:gridCol w:w="1395"/>
      </w:tblGrid>
      <w:tr>
        <w:trPr>
          <w:trHeight w:val="248" w:hRule="atLeast"/>
        </w:trPr>
        <w:tc>
          <w:tcPr>
            <w:tcW w:w="2137" w:type="dxa"/>
            <w:gridSpan w:val="2"/>
            <w:vMerge w:val="restart"/>
            <w:tcBorders>
              <w:top w:val="nil"/>
              <w:left w:val="nil"/>
            </w:tcBorders>
          </w:tcPr>
          <w:p>
            <w:pPr>
              <w:pStyle w:val="TableParagraph"/>
              <w:spacing w:line="240" w:lineRule="auto"/>
              <w:jc w:val="left"/>
              <w:rPr>
                <w:rFonts w:ascii="Times New Roman"/>
                <w:sz w:val="22"/>
              </w:rPr>
            </w:pPr>
          </w:p>
        </w:tc>
        <w:tc>
          <w:tcPr>
            <w:tcW w:w="2790" w:type="dxa"/>
            <w:gridSpan w:val="2"/>
            <w:shd w:val="clear" w:color="auto" w:fill="CCFFFF"/>
          </w:tcPr>
          <w:p>
            <w:pPr>
              <w:pStyle w:val="TableParagraph"/>
              <w:ind w:left="850"/>
              <w:jc w:val="left"/>
              <w:rPr>
                <w:rFonts w:ascii="A-OTF Futo Go B101 Pr6N" w:eastAsia="A-OTF Futo Go B101 Pr6N" w:hint="eastAsia"/>
                <w:b/>
                <w:sz w:val="22"/>
              </w:rPr>
            </w:pPr>
            <w:r>
              <w:rPr>
                <w:rFonts w:ascii="A-OTF Futo Go B101 Pr6N" w:eastAsia="A-OTF Futo Go B101 Pr6N" w:hint="eastAsia"/>
                <w:b/>
                <w:sz w:val="22"/>
              </w:rPr>
              <w:t>平成１４年</w:t>
            </w:r>
          </w:p>
        </w:tc>
        <w:tc>
          <w:tcPr>
            <w:tcW w:w="4185" w:type="dxa"/>
            <w:gridSpan w:val="3"/>
            <w:shd w:val="clear" w:color="auto" w:fill="CCFFCC"/>
          </w:tcPr>
          <w:p>
            <w:pPr>
              <w:pStyle w:val="TableParagraph"/>
              <w:ind w:left="1527" w:right="1498"/>
              <w:jc w:val="center"/>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48" w:hRule="atLeast"/>
        </w:trPr>
        <w:tc>
          <w:tcPr>
            <w:tcW w:w="2137" w:type="dxa"/>
            <w:gridSpan w:val="2"/>
            <w:vMerge/>
            <w:tcBorders>
              <w:top w:val="nil"/>
              <w:left w:val="nil"/>
            </w:tcBorders>
          </w:tcPr>
          <w:p>
            <w:pPr>
              <w:rPr>
                <w:sz w:val="2"/>
                <w:szCs w:val="2"/>
              </w:rPr>
            </w:pPr>
          </w:p>
        </w:tc>
        <w:tc>
          <w:tcPr>
            <w:tcW w:w="1395" w:type="dxa"/>
            <w:shd w:val="clear" w:color="auto" w:fill="CCFFCC"/>
          </w:tcPr>
          <w:p>
            <w:pPr>
              <w:pStyle w:val="TableParagraph"/>
              <w:ind w:left="483"/>
              <w:jc w:val="left"/>
              <w:rPr>
                <w:rFonts w:ascii="A-OTF Futo Go B101 Pr6N" w:eastAsia="A-OTF Futo Go B101 Pr6N" w:hint="eastAsia"/>
                <w:b/>
                <w:sz w:val="22"/>
              </w:rPr>
            </w:pPr>
            <w:r>
              <w:rPr>
                <w:rFonts w:ascii="A-OTF Futo Go B101 Pr6N" w:eastAsia="A-OTF Futo Go B101 Pr6N" w:hint="eastAsia"/>
                <w:b/>
                <w:sz w:val="22"/>
              </w:rPr>
              <w:t>７月</w:t>
            </w:r>
          </w:p>
        </w:tc>
        <w:tc>
          <w:tcPr>
            <w:tcW w:w="1395" w:type="dxa"/>
            <w:shd w:val="clear" w:color="auto" w:fill="CCFFCC"/>
          </w:tcPr>
          <w:p>
            <w:pPr>
              <w:pStyle w:val="TableParagraph"/>
              <w:ind w:left="372"/>
              <w:jc w:val="left"/>
              <w:rPr>
                <w:rFonts w:ascii="A-OTF Futo Go B101 Pr6N" w:eastAsia="A-OTF Futo Go B101 Pr6N" w:hint="eastAsia"/>
                <w:b/>
                <w:sz w:val="22"/>
              </w:rPr>
            </w:pPr>
            <w:r>
              <w:rPr>
                <w:rFonts w:ascii="A-OTF Futo Go B101 Pr6N" w:eastAsia="A-OTF Futo Go B101 Pr6N" w:hint="eastAsia"/>
                <w:b/>
                <w:sz w:val="22"/>
              </w:rPr>
              <w:t>１０月</w:t>
            </w:r>
          </w:p>
        </w:tc>
        <w:tc>
          <w:tcPr>
            <w:tcW w:w="1395" w:type="dxa"/>
            <w:shd w:val="clear" w:color="auto" w:fill="CCFFCC"/>
          </w:tcPr>
          <w:p>
            <w:pPr>
              <w:pStyle w:val="TableParagraph"/>
              <w:ind w:left="482"/>
              <w:jc w:val="left"/>
              <w:rPr>
                <w:rFonts w:ascii="A-OTF Futo Go B101 Pr6N" w:eastAsia="A-OTF Futo Go B101 Pr6N" w:hint="eastAsia"/>
                <w:b/>
                <w:sz w:val="22"/>
              </w:rPr>
            </w:pPr>
            <w:r>
              <w:rPr>
                <w:rFonts w:ascii="A-OTF Futo Go B101 Pr6N" w:eastAsia="A-OTF Futo Go B101 Pr6N" w:hint="eastAsia"/>
                <w:b/>
                <w:sz w:val="22"/>
              </w:rPr>
              <w:t>１月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４月</w:t>
            </w:r>
          </w:p>
        </w:tc>
        <w:tc>
          <w:tcPr>
            <w:tcW w:w="1395" w:type="dxa"/>
            <w:shd w:val="clear" w:color="auto" w:fill="CCFFCC"/>
          </w:tcPr>
          <w:p>
            <w:pPr>
              <w:pStyle w:val="TableParagraph"/>
              <w:ind w:left="481"/>
              <w:jc w:val="left"/>
              <w:rPr>
                <w:rFonts w:ascii="A-OTF Futo Go B101 Pr6N" w:eastAsia="A-OTF Futo Go B101 Pr6N" w:hint="eastAsia"/>
                <w:b/>
                <w:sz w:val="22"/>
              </w:rPr>
            </w:pPr>
            <w:r>
              <w:rPr>
                <w:rFonts w:ascii="A-OTF Futo Go B101 Pr6N" w:eastAsia="A-OTF Futo Go B101 Pr6N" w:hint="eastAsia"/>
                <w:b/>
                <w:sz w:val="22"/>
              </w:rPr>
              <w:t>７月</w:t>
            </w:r>
          </w:p>
        </w:tc>
      </w:tr>
      <w:tr>
        <w:trPr>
          <w:trHeight w:val="248" w:hRule="atLeast"/>
        </w:trPr>
        <w:tc>
          <w:tcPr>
            <w:tcW w:w="2137" w:type="dxa"/>
            <w:gridSpan w:val="2"/>
            <w:tcBorders>
              <w:bottom w:val="nil"/>
            </w:tcBorders>
            <w:shd w:val="clear" w:color="auto" w:fill="CCFFCC"/>
          </w:tcPr>
          <w:p>
            <w:pPr>
              <w:pStyle w:val="TableParagraph"/>
              <w:tabs>
                <w:tab w:pos="1145"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395" w:type="dxa"/>
          </w:tcPr>
          <w:p>
            <w:pPr>
              <w:pStyle w:val="TableParagraph"/>
              <w:ind w:right="131"/>
              <w:rPr>
                <w:rFonts w:ascii="A-OTF Futo Go B101 Pr6N"/>
                <w:b/>
                <w:sz w:val="22"/>
              </w:rPr>
            </w:pPr>
            <w:r>
              <w:rPr>
                <w:rFonts w:ascii="A-OTF Futo Go B101 Pr6N"/>
                <w:b/>
                <w:w w:val="105"/>
                <w:sz w:val="22"/>
              </w:rPr>
              <w:t>21.7</w:t>
            </w:r>
          </w:p>
        </w:tc>
        <w:tc>
          <w:tcPr>
            <w:tcW w:w="1395" w:type="dxa"/>
          </w:tcPr>
          <w:p>
            <w:pPr>
              <w:pStyle w:val="TableParagraph"/>
              <w:ind w:right="131"/>
              <w:rPr>
                <w:rFonts w:ascii="A-OTF Futo Go B101 Pr6N"/>
                <w:b/>
                <w:sz w:val="22"/>
              </w:rPr>
            </w:pPr>
            <w:r>
              <w:rPr>
                <w:rFonts w:ascii="A-OTF Futo Go B101 Pr6N"/>
                <w:b/>
                <w:w w:val="105"/>
                <w:sz w:val="22"/>
              </w:rPr>
              <w:t>20.5</w:t>
            </w:r>
          </w:p>
        </w:tc>
        <w:tc>
          <w:tcPr>
            <w:tcW w:w="1395" w:type="dxa"/>
          </w:tcPr>
          <w:p>
            <w:pPr>
              <w:pStyle w:val="TableParagraph"/>
              <w:ind w:right="132"/>
              <w:rPr>
                <w:rFonts w:ascii="A-OTF Futo Go B101 Pr6N"/>
                <w:b/>
                <w:sz w:val="22"/>
              </w:rPr>
            </w:pPr>
            <w:r>
              <w:rPr>
                <w:rFonts w:ascii="A-OTF Futo Go B101 Pr6N"/>
                <w:b/>
                <w:w w:val="105"/>
                <w:sz w:val="22"/>
              </w:rPr>
              <w:t>16.1</w:t>
            </w:r>
          </w:p>
        </w:tc>
        <w:tc>
          <w:tcPr>
            <w:tcW w:w="1395" w:type="dxa"/>
          </w:tcPr>
          <w:p>
            <w:pPr>
              <w:pStyle w:val="TableParagraph"/>
              <w:ind w:right="133"/>
              <w:rPr>
                <w:rFonts w:ascii="A-OTF Futo Go B101 Pr6N"/>
                <w:b/>
                <w:sz w:val="22"/>
              </w:rPr>
            </w:pPr>
            <w:r>
              <w:rPr>
                <w:rFonts w:ascii="A-OTF Futo Go B101 Pr6N"/>
                <w:b/>
                <w:w w:val="105"/>
                <w:sz w:val="22"/>
              </w:rPr>
              <w:t>21.0</w:t>
            </w:r>
          </w:p>
        </w:tc>
        <w:tc>
          <w:tcPr>
            <w:tcW w:w="1395" w:type="dxa"/>
          </w:tcPr>
          <w:p>
            <w:pPr>
              <w:pStyle w:val="TableParagraph"/>
              <w:ind w:right="133"/>
              <w:rPr>
                <w:rFonts w:ascii="A-OTF Futo Go B101 Pr6N"/>
                <w:b/>
                <w:sz w:val="22"/>
              </w:rPr>
            </w:pPr>
            <w:r>
              <w:rPr>
                <w:rFonts w:ascii="A-OTF Futo Go B101 Pr6N"/>
                <w:b/>
                <w:w w:val="105"/>
                <w:sz w:val="22"/>
              </w:rPr>
              <w:t>21.2</w:t>
            </w:r>
          </w:p>
        </w:tc>
      </w:tr>
      <w:tr>
        <w:trPr>
          <w:trHeight w:val="248" w:hRule="atLeast"/>
        </w:trPr>
        <w:tc>
          <w:tcPr>
            <w:tcW w:w="358" w:type="dxa"/>
            <w:vMerge w:val="restart"/>
            <w:tcBorders>
              <w:top w:val="nil"/>
            </w:tcBorders>
            <w:shd w:val="clear" w:color="auto" w:fill="CCFFCC"/>
          </w:tcPr>
          <w:p>
            <w:pPr>
              <w:pStyle w:val="TableParagraph"/>
              <w:spacing w:line="240" w:lineRule="auto"/>
              <w:jc w:val="left"/>
              <w:rPr>
                <w:rFonts w:ascii="Times New Roman"/>
                <w:sz w:val="22"/>
              </w:rPr>
            </w:pPr>
          </w:p>
        </w:tc>
        <w:tc>
          <w:tcPr>
            <w:tcW w:w="1779" w:type="dxa"/>
            <w:shd w:val="clear" w:color="auto" w:fill="CCFFCC"/>
          </w:tcPr>
          <w:p>
            <w:pPr>
              <w:pStyle w:val="TableParagraph"/>
              <w:ind w:left="37"/>
              <w:jc w:val="left"/>
              <w:rPr>
                <w:sz w:val="22"/>
              </w:rPr>
            </w:pPr>
            <w:r>
              <w:rPr>
                <w:sz w:val="22"/>
              </w:rPr>
              <w:t>東青</w:t>
            </w:r>
          </w:p>
        </w:tc>
        <w:tc>
          <w:tcPr>
            <w:tcW w:w="1395" w:type="dxa"/>
          </w:tcPr>
          <w:p>
            <w:pPr>
              <w:pStyle w:val="TableParagraph"/>
              <w:ind w:right="128"/>
              <w:rPr>
                <w:sz w:val="22"/>
              </w:rPr>
            </w:pPr>
            <w:r>
              <w:rPr>
                <w:sz w:val="22"/>
              </w:rPr>
              <w:t>21.7</w:t>
            </w:r>
          </w:p>
        </w:tc>
        <w:tc>
          <w:tcPr>
            <w:tcW w:w="1395" w:type="dxa"/>
          </w:tcPr>
          <w:p>
            <w:pPr>
              <w:pStyle w:val="TableParagraph"/>
              <w:ind w:right="129"/>
              <w:rPr>
                <w:sz w:val="22"/>
              </w:rPr>
            </w:pPr>
            <w:r>
              <w:rPr>
                <w:sz w:val="22"/>
              </w:rPr>
              <w:t>23.3</w:t>
            </w:r>
          </w:p>
        </w:tc>
        <w:tc>
          <w:tcPr>
            <w:tcW w:w="1395" w:type="dxa"/>
          </w:tcPr>
          <w:p>
            <w:pPr>
              <w:pStyle w:val="TableParagraph"/>
              <w:ind w:right="129"/>
              <w:rPr>
                <w:sz w:val="22"/>
              </w:rPr>
            </w:pPr>
            <w:r>
              <w:rPr>
                <w:sz w:val="22"/>
              </w:rPr>
              <w:t>14.3</w:t>
            </w:r>
          </w:p>
        </w:tc>
        <w:tc>
          <w:tcPr>
            <w:tcW w:w="1395" w:type="dxa"/>
          </w:tcPr>
          <w:p>
            <w:pPr>
              <w:pStyle w:val="TableParagraph"/>
              <w:ind w:right="130"/>
              <w:rPr>
                <w:sz w:val="22"/>
              </w:rPr>
            </w:pPr>
            <w:r>
              <w:rPr>
                <w:sz w:val="22"/>
              </w:rPr>
              <w:t>20.7</w:t>
            </w:r>
          </w:p>
        </w:tc>
        <w:tc>
          <w:tcPr>
            <w:tcW w:w="1395" w:type="dxa"/>
          </w:tcPr>
          <w:p>
            <w:pPr>
              <w:pStyle w:val="TableParagraph"/>
              <w:ind w:right="131"/>
              <w:rPr>
                <w:sz w:val="22"/>
              </w:rPr>
            </w:pPr>
            <w:r>
              <w:rPr>
                <w:sz w:val="22"/>
              </w:rPr>
              <w:t>19.2</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津軽</w:t>
            </w:r>
          </w:p>
        </w:tc>
        <w:tc>
          <w:tcPr>
            <w:tcW w:w="1395" w:type="dxa"/>
          </w:tcPr>
          <w:p>
            <w:pPr>
              <w:pStyle w:val="TableParagraph"/>
              <w:ind w:right="128"/>
              <w:rPr>
                <w:sz w:val="22"/>
              </w:rPr>
            </w:pPr>
            <w:r>
              <w:rPr>
                <w:sz w:val="22"/>
              </w:rPr>
              <w:t>25.0</w:t>
            </w:r>
          </w:p>
        </w:tc>
        <w:tc>
          <w:tcPr>
            <w:tcW w:w="1395" w:type="dxa"/>
          </w:tcPr>
          <w:p>
            <w:pPr>
              <w:pStyle w:val="TableParagraph"/>
              <w:ind w:right="129"/>
              <w:rPr>
                <w:sz w:val="22"/>
              </w:rPr>
            </w:pPr>
            <w:r>
              <w:rPr>
                <w:sz w:val="22"/>
              </w:rPr>
              <w:t>20.7</w:t>
            </w:r>
          </w:p>
        </w:tc>
        <w:tc>
          <w:tcPr>
            <w:tcW w:w="1395" w:type="dxa"/>
          </w:tcPr>
          <w:p>
            <w:pPr>
              <w:pStyle w:val="TableParagraph"/>
              <w:ind w:right="129"/>
              <w:rPr>
                <w:sz w:val="22"/>
              </w:rPr>
            </w:pPr>
            <w:r>
              <w:rPr>
                <w:sz w:val="22"/>
              </w:rPr>
              <w:t>19.4</w:t>
            </w:r>
          </w:p>
        </w:tc>
        <w:tc>
          <w:tcPr>
            <w:tcW w:w="1395" w:type="dxa"/>
          </w:tcPr>
          <w:p>
            <w:pPr>
              <w:pStyle w:val="TableParagraph"/>
              <w:ind w:right="130"/>
              <w:rPr>
                <w:sz w:val="22"/>
              </w:rPr>
            </w:pPr>
            <w:r>
              <w:rPr>
                <w:sz w:val="22"/>
              </w:rPr>
              <w:t>27.8</w:t>
            </w:r>
          </w:p>
        </w:tc>
        <w:tc>
          <w:tcPr>
            <w:tcW w:w="1395" w:type="dxa"/>
          </w:tcPr>
          <w:p>
            <w:pPr>
              <w:pStyle w:val="TableParagraph"/>
              <w:ind w:right="131"/>
              <w:rPr>
                <w:sz w:val="22"/>
              </w:rPr>
            </w:pPr>
            <w:r>
              <w:rPr>
                <w:sz w:val="22"/>
              </w:rPr>
              <w:t>25.0</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県南</w:t>
            </w:r>
          </w:p>
        </w:tc>
        <w:tc>
          <w:tcPr>
            <w:tcW w:w="1395" w:type="dxa"/>
          </w:tcPr>
          <w:p>
            <w:pPr>
              <w:pStyle w:val="TableParagraph"/>
              <w:ind w:right="128"/>
              <w:rPr>
                <w:sz w:val="22"/>
              </w:rPr>
            </w:pPr>
            <w:r>
              <w:rPr>
                <w:sz w:val="22"/>
              </w:rPr>
              <w:t>19.0</w:t>
            </w:r>
          </w:p>
        </w:tc>
        <w:tc>
          <w:tcPr>
            <w:tcW w:w="1395" w:type="dxa"/>
          </w:tcPr>
          <w:p>
            <w:pPr>
              <w:pStyle w:val="TableParagraph"/>
              <w:ind w:right="129"/>
              <w:rPr>
                <w:sz w:val="22"/>
              </w:rPr>
            </w:pPr>
            <w:r>
              <w:rPr>
                <w:sz w:val="22"/>
              </w:rPr>
              <w:t>17.0</w:t>
            </w:r>
          </w:p>
        </w:tc>
        <w:tc>
          <w:tcPr>
            <w:tcW w:w="1395" w:type="dxa"/>
          </w:tcPr>
          <w:p>
            <w:pPr>
              <w:pStyle w:val="TableParagraph"/>
              <w:ind w:right="129"/>
              <w:rPr>
                <w:sz w:val="22"/>
              </w:rPr>
            </w:pPr>
            <w:r>
              <w:rPr>
                <w:sz w:val="22"/>
              </w:rPr>
              <w:t>11.6</w:t>
            </w:r>
          </w:p>
        </w:tc>
        <w:tc>
          <w:tcPr>
            <w:tcW w:w="1395" w:type="dxa"/>
          </w:tcPr>
          <w:p>
            <w:pPr>
              <w:pStyle w:val="TableParagraph"/>
              <w:ind w:right="130"/>
              <w:rPr>
                <w:sz w:val="22"/>
              </w:rPr>
            </w:pPr>
            <w:r>
              <w:rPr>
                <w:sz w:val="22"/>
              </w:rPr>
              <w:t>15.7</w:t>
            </w:r>
          </w:p>
        </w:tc>
        <w:tc>
          <w:tcPr>
            <w:tcW w:w="1395" w:type="dxa"/>
          </w:tcPr>
          <w:p>
            <w:pPr>
              <w:pStyle w:val="TableParagraph"/>
              <w:ind w:right="131"/>
              <w:rPr>
                <w:sz w:val="22"/>
              </w:rPr>
            </w:pPr>
            <w:r>
              <w:rPr>
                <w:sz w:val="22"/>
              </w:rPr>
              <w:t>17.9</w:t>
            </w:r>
          </w:p>
        </w:tc>
      </w:tr>
      <w:tr>
        <w:trPr>
          <w:trHeight w:val="248" w:hRule="atLeast"/>
        </w:trPr>
        <w:tc>
          <w:tcPr>
            <w:tcW w:w="358" w:type="dxa"/>
            <w:vMerge/>
            <w:tcBorders>
              <w:top w:val="nil"/>
            </w:tcBorders>
            <w:shd w:val="clear" w:color="auto" w:fill="CCFFCC"/>
          </w:tcPr>
          <w:p>
            <w:pPr>
              <w:rPr>
                <w:sz w:val="2"/>
                <w:szCs w:val="2"/>
              </w:rPr>
            </w:pPr>
          </w:p>
        </w:tc>
        <w:tc>
          <w:tcPr>
            <w:tcW w:w="1779" w:type="dxa"/>
            <w:shd w:val="clear" w:color="auto" w:fill="CCFFCC"/>
          </w:tcPr>
          <w:p>
            <w:pPr>
              <w:pStyle w:val="TableParagraph"/>
              <w:ind w:left="37"/>
              <w:jc w:val="left"/>
              <w:rPr>
                <w:sz w:val="22"/>
              </w:rPr>
            </w:pPr>
            <w:r>
              <w:rPr>
                <w:sz w:val="22"/>
              </w:rPr>
              <w:t>下北</w:t>
            </w:r>
          </w:p>
        </w:tc>
        <w:tc>
          <w:tcPr>
            <w:tcW w:w="1395" w:type="dxa"/>
          </w:tcPr>
          <w:p>
            <w:pPr>
              <w:pStyle w:val="TableParagraph"/>
              <w:ind w:right="128"/>
              <w:rPr>
                <w:sz w:val="22"/>
              </w:rPr>
            </w:pPr>
            <w:r>
              <w:rPr>
                <w:sz w:val="22"/>
              </w:rPr>
              <w:t>19.4</w:t>
            </w:r>
          </w:p>
        </w:tc>
        <w:tc>
          <w:tcPr>
            <w:tcW w:w="1395" w:type="dxa"/>
          </w:tcPr>
          <w:p>
            <w:pPr>
              <w:pStyle w:val="TableParagraph"/>
              <w:ind w:right="129"/>
              <w:rPr>
                <w:sz w:val="22"/>
              </w:rPr>
            </w:pPr>
            <w:r>
              <w:rPr>
                <w:sz w:val="22"/>
              </w:rPr>
              <w:t>22.2</w:t>
            </w:r>
          </w:p>
        </w:tc>
        <w:tc>
          <w:tcPr>
            <w:tcW w:w="1395" w:type="dxa"/>
          </w:tcPr>
          <w:p>
            <w:pPr>
              <w:pStyle w:val="TableParagraph"/>
              <w:ind w:right="129"/>
              <w:rPr>
                <w:sz w:val="22"/>
              </w:rPr>
            </w:pPr>
            <w:r>
              <w:rPr>
                <w:sz w:val="22"/>
              </w:rPr>
              <w:t>28.6</w:t>
            </w:r>
          </w:p>
        </w:tc>
        <w:tc>
          <w:tcPr>
            <w:tcW w:w="1395" w:type="dxa"/>
          </w:tcPr>
          <w:p>
            <w:pPr>
              <w:pStyle w:val="TableParagraph"/>
              <w:ind w:right="130"/>
              <w:rPr>
                <w:sz w:val="22"/>
              </w:rPr>
            </w:pPr>
            <w:r>
              <w:rPr>
                <w:sz w:val="22"/>
              </w:rPr>
              <w:t>17.5</w:t>
            </w:r>
          </w:p>
        </w:tc>
        <w:tc>
          <w:tcPr>
            <w:tcW w:w="1395" w:type="dxa"/>
          </w:tcPr>
          <w:p>
            <w:pPr>
              <w:pStyle w:val="TableParagraph"/>
              <w:ind w:right="131"/>
              <w:rPr>
                <w:sz w:val="22"/>
              </w:rPr>
            </w:pPr>
            <w:r>
              <w:rPr>
                <w:sz w:val="22"/>
              </w:rPr>
              <w:t>25.0</w:t>
            </w:r>
          </w:p>
        </w:tc>
      </w:tr>
    </w:tbl>
    <w:p>
      <w:pPr>
        <w:spacing w:after="0"/>
        <w:rPr>
          <w:sz w:val="22"/>
        </w:rPr>
        <w:sectPr>
          <w:pgSz w:w="11900" w:h="16840"/>
          <w:pgMar w:header="0" w:footer="765" w:top="1320" w:bottom="960" w:left="1000" w:right="1060"/>
        </w:sectPr>
      </w:pPr>
    </w:p>
    <w:p>
      <w:pPr>
        <w:pStyle w:val="BodyText"/>
        <w:spacing w:before="8"/>
        <w:rPr>
          <w:sz w:val="27"/>
        </w:rPr>
      </w:pPr>
    </w:p>
    <w:p>
      <w:pPr>
        <w:pStyle w:val="Heading3"/>
        <w:spacing w:before="101"/>
      </w:pPr>
      <w:r>
        <w:rPr/>
        <w:t>(参考２） その他自由意見</w:t>
      </w:r>
    </w:p>
    <w:p>
      <w:pPr>
        <w:pStyle w:val="BodyText"/>
        <w:spacing w:before="6"/>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43"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883"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jc w:val="left"/>
              <w:rPr>
                <w:sz w:val="26"/>
              </w:rPr>
            </w:pPr>
          </w:p>
          <w:p>
            <w:pPr>
              <w:pStyle w:val="TableParagraph"/>
              <w:spacing w:line="240" w:lineRule="auto" w:before="10"/>
              <w:jc w:val="left"/>
              <w:rPr>
                <w:sz w:val="33"/>
              </w:rPr>
            </w:pPr>
          </w:p>
          <w:p>
            <w:pPr>
              <w:pStyle w:val="TableParagraph"/>
              <w:spacing w:line="240" w:lineRule="auto"/>
              <w:ind w:left="73" w:right="36"/>
              <w:jc w:val="center"/>
              <w:rPr>
                <w:sz w:val="20"/>
              </w:rPr>
            </w:pPr>
            <w:r>
              <w:rPr>
                <w:sz w:val="20"/>
              </w:rPr>
              <w:t>コンビニ</w:t>
            </w:r>
          </w:p>
        </w:tc>
        <w:tc>
          <w:tcPr>
            <w:tcW w:w="7024" w:type="dxa"/>
          </w:tcPr>
          <w:p>
            <w:pPr>
              <w:pStyle w:val="TableParagraph"/>
              <w:spacing w:line="199" w:lineRule="auto" w:before="55"/>
              <w:ind w:left="36" w:right="192"/>
              <w:jc w:val="left"/>
              <w:rPr>
                <w:sz w:val="20"/>
              </w:rPr>
            </w:pPr>
            <w:r>
              <w:rPr>
                <w:spacing w:val="-3"/>
                <w:sz w:val="20"/>
              </w:rPr>
              <w:t>寒い夏の影響は、日々、ひしひしと感じます。夏休みも近いというのに、毎日、こんなに寒くては？今年はねぶたの時間も８：４０までのびることで売上げアップに期待していますが、店近くのホテルは、この時期でもまだ余裕があるそうです。数年前には、もう来年の予約が入っていたそうですが、本当に不況なんですね。他の業界のお話しを聞いても本当にきびしいそうで  す。売上げは落ちるけど、税金は高くなるし、ふんだりけったりです。タバコの増税も５００円玉で２コはもう買えないので、お客様、いつも２個から</w:t>
            </w:r>
          </w:p>
          <w:p>
            <w:pPr>
              <w:pStyle w:val="TableParagraph"/>
              <w:spacing w:line="237" w:lineRule="exact"/>
              <w:ind w:left="36"/>
              <w:jc w:val="left"/>
              <w:rPr>
                <w:sz w:val="20"/>
              </w:rPr>
            </w:pPr>
            <w:r>
              <w:rPr>
                <w:sz w:val="20"/>
              </w:rPr>
              <w:t>１個になった人多いです。</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119"/>
              <w:ind w:left="73" w:right="39"/>
              <w:jc w:val="center"/>
              <w:rPr>
                <w:sz w:val="20"/>
              </w:rPr>
            </w:pPr>
            <w:r>
              <w:rPr>
                <w:sz w:val="20"/>
              </w:rPr>
              <w:t>衣料専門店</w:t>
            </w:r>
          </w:p>
        </w:tc>
        <w:tc>
          <w:tcPr>
            <w:tcW w:w="7024" w:type="dxa"/>
          </w:tcPr>
          <w:p>
            <w:pPr>
              <w:pStyle w:val="TableParagraph"/>
              <w:spacing w:line="199" w:lineRule="auto" w:before="45"/>
              <w:ind w:left="36" w:right="140"/>
              <w:jc w:val="left"/>
              <w:rPr>
                <w:sz w:val="20"/>
              </w:rPr>
            </w:pPr>
            <w:r>
              <w:rPr>
                <w:sz w:val="20"/>
              </w:rPr>
              <w:t>中心街区の活性化策である、旧老舗百貨店の臨時開設店舗の反響に大きな関心を寄せている。</w:t>
            </w:r>
          </w:p>
        </w:tc>
      </w:tr>
      <w:tr>
        <w:trPr>
          <w:trHeight w:val="1067"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商店街</w:t>
            </w:r>
          </w:p>
        </w:tc>
        <w:tc>
          <w:tcPr>
            <w:tcW w:w="7024" w:type="dxa"/>
          </w:tcPr>
          <w:p>
            <w:pPr>
              <w:pStyle w:val="TableParagraph"/>
              <w:spacing w:line="199" w:lineRule="auto" w:before="93"/>
              <w:ind w:left="36" w:right="192"/>
              <w:jc w:val="both"/>
              <w:rPr>
                <w:sz w:val="20"/>
              </w:rPr>
            </w:pPr>
            <w:r>
              <w:rPr>
                <w:spacing w:val="-3"/>
                <w:sz w:val="20"/>
              </w:rPr>
              <w:t>一般の空き地・空き店舗が埋まってきた中で、老舗百貨店の閉鎖は経済的なインパクトもさるものの、心理的なダメージが、より強いように感じられます。そのような、さなかにあって、８月だけの臨時開設店舗がオープンすることは大変喜ばしいニュースです。</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199" w:lineRule="auto" w:before="45"/>
              <w:ind w:left="494" w:right="58" w:hanging="399"/>
              <w:jc w:val="left"/>
              <w:rPr>
                <w:sz w:val="20"/>
              </w:rPr>
            </w:pPr>
            <w:r>
              <w:rPr>
                <w:sz w:val="20"/>
              </w:rPr>
              <w:t>都市型ホテル</w:t>
            </w:r>
          </w:p>
        </w:tc>
        <w:tc>
          <w:tcPr>
            <w:tcW w:w="7024" w:type="dxa"/>
          </w:tcPr>
          <w:p>
            <w:pPr>
              <w:pStyle w:val="TableParagraph"/>
              <w:spacing w:line="240" w:lineRule="auto" w:before="119"/>
              <w:ind w:left="36"/>
              <w:jc w:val="left"/>
              <w:rPr>
                <w:sz w:val="20"/>
              </w:rPr>
            </w:pPr>
            <w:r>
              <w:rPr>
                <w:sz w:val="20"/>
              </w:rPr>
              <w:t>将来への不安を感じている人が多い。自己防衛的になっている。</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119"/>
              <w:ind w:left="73" w:right="39"/>
              <w:jc w:val="center"/>
              <w:rPr>
                <w:sz w:val="20"/>
              </w:rPr>
            </w:pPr>
            <w:r>
              <w:rPr>
                <w:sz w:val="20"/>
              </w:rPr>
              <w:t>観光名所等</w:t>
            </w:r>
          </w:p>
        </w:tc>
        <w:tc>
          <w:tcPr>
            <w:tcW w:w="7024" w:type="dxa"/>
          </w:tcPr>
          <w:p>
            <w:pPr>
              <w:pStyle w:val="TableParagraph"/>
              <w:spacing w:line="199" w:lineRule="auto" w:before="45"/>
              <w:ind w:left="36" w:right="140"/>
              <w:jc w:val="left"/>
              <w:rPr>
                <w:sz w:val="20"/>
              </w:rPr>
            </w:pPr>
            <w:r>
              <w:rPr>
                <w:sz w:val="20"/>
              </w:rPr>
              <w:t>せっかく新幹線八戸開業したのに、まだまだ県内は２次交通の整備が遅れているので、このままでは１～２年で元に戻ってしまうのでは？</w:t>
            </w:r>
          </w:p>
        </w:tc>
      </w:tr>
      <w:tr>
        <w:trPr>
          <w:trHeight w:val="796"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タクシー</w:t>
            </w:r>
          </w:p>
        </w:tc>
        <w:tc>
          <w:tcPr>
            <w:tcW w:w="7024" w:type="dxa"/>
          </w:tcPr>
          <w:p>
            <w:pPr>
              <w:pStyle w:val="TableParagraph"/>
              <w:spacing w:line="199" w:lineRule="auto" w:before="69"/>
              <w:ind w:left="36" w:right="192"/>
              <w:jc w:val="left"/>
              <w:rPr>
                <w:sz w:val="20"/>
              </w:rPr>
            </w:pPr>
            <w:r>
              <w:rPr>
                <w:spacing w:val="-3"/>
                <w:sz w:val="20"/>
              </w:rPr>
              <w:t>（アスパム周辺で）年間通じて、ねぶたやリンゴに関する体験、展示。ねぶ</w:t>
            </w:r>
            <w:r>
              <w:rPr>
                <w:spacing w:val="-3"/>
                <w:w w:val="105"/>
                <w:sz w:val="20"/>
              </w:rPr>
              <w:t>たの期間中、小屋掛によりみれるが、他の時期も気軽に”みて”、”さわ   る”→再訪問出来るもの・・・</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119"/>
              <w:ind w:left="73" w:right="39"/>
              <w:jc w:val="center"/>
              <w:rPr>
                <w:sz w:val="20"/>
              </w:rPr>
            </w:pPr>
            <w:r>
              <w:rPr>
                <w:sz w:val="20"/>
              </w:rPr>
              <w:t>美容院</w:t>
            </w:r>
          </w:p>
        </w:tc>
        <w:tc>
          <w:tcPr>
            <w:tcW w:w="7024" w:type="dxa"/>
          </w:tcPr>
          <w:p>
            <w:pPr>
              <w:pStyle w:val="TableParagraph"/>
              <w:spacing w:line="240" w:lineRule="auto" w:before="119"/>
              <w:ind w:left="36"/>
              <w:jc w:val="left"/>
              <w:rPr>
                <w:sz w:val="20"/>
              </w:rPr>
            </w:pPr>
            <w:r>
              <w:rPr>
                <w:sz w:val="20"/>
              </w:rPr>
              <w:t>まだまだ職業につけない人が多い。</w:t>
            </w:r>
          </w:p>
        </w:tc>
      </w:tr>
      <w:tr>
        <w:trPr>
          <w:trHeight w:val="1067" w:hRule="atLeast"/>
        </w:trPr>
        <w:tc>
          <w:tcPr>
            <w:tcW w:w="511" w:type="dxa"/>
          </w:tcPr>
          <w:p>
            <w:pPr>
              <w:pStyle w:val="TableParagraph"/>
              <w:ind w:left="43" w:right="7"/>
              <w:jc w:val="center"/>
              <w:rPr>
                <w:sz w:val="20"/>
              </w:rPr>
            </w:pPr>
            <w:r>
              <w:rPr>
                <w:sz w:val="20"/>
              </w:rPr>
              <w:t>雇用</w:t>
            </w:r>
          </w:p>
        </w:tc>
        <w:tc>
          <w:tcPr>
            <w:tcW w:w="511" w:type="dxa"/>
          </w:tcPr>
          <w:p>
            <w:pPr>
              <w:pStyle w:val="TableParagraph"/>
              <w:ind w:right="25"/>
              <w:rPr>
                <w:sz w:val="20"/>
              </w:rPr>
            </w:pPr>
            <w:r>
              <w:rPr>
                <w:sz w:val="20"/>
              </w:rPr>
              <w:t>東青</w:t>
            </w: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人材派遣</w:t>
            </w:r>
          </w:p>
        </w:tc>
        <w:tc>
          <w:tcPr>
            <w:tcW w:w="7024" w:type="dxa"/>
          </w:tcPr>
          <w:p>
            <w:pPr>
              <w:pStyle w:val="TableParagraph"/>
              <w:spacing w:line="199" w:lineRule="auto" w:before="93"/>
              <w:ind w:left="36" w:right="190"/>
              <w:jc w:val="left"/>
              <w:rPr>
                <w:sz w:val="20"/>
              </w:rPr>
            </w:pPr>
            <w:r>
              <w:rPr>
                <w:spacing w:val="-3"/>
                <w:sz w:val="20"/>
              </w:rPr>
              <w:t>６月に十数名の求人広告を出したところ、１０２名の応募があった。（内  訳：１０・２０歳代－２０名（19.6％）、３０歳代ー２７名（26.5％）、４</w:t>
            </w:r>
          </w:p>
          <w:p>
            <w:pPr>
              <w:pStyle w:val="TableParagraph"/>
              <w:spacing w:line="211" w:lineRule="exact"/>
              <w:ind w:left="36"/>
              <w:jc w:val="left"/>
              <w:rPr>
                <w:sz w:val="20"/>
              </w:rPr>
            </w:pPr>
            <w:r>
              <w:rPr>
                <w:spacing w:val="-3"/>
                <w:sz w:val="20"/>
              </w:rPr>
              <w:t>０歳代－３８名（37.3％）、5０歳代以上－１７名（16.7％）     ただし、内９</w:t>
            </w:r>
          </w:p>
          <w:p>
            <w:pPr>
              <w:pStyle w:val="TableParagraph"/>
              <w:spacing w:line="246" w:lineRule="exact"/>
              <w:ind w:left="36"/>
              <w:jc w:val="left"/>
              <w:rPr>
                <w:sz w:val="20"/>
              </w:rPr>
            </w:pPr>
            <w:r>
              <w:rPr>
                <w:sz w:val="20"/>
              </w:rPr>
              <w:t>２％が女性の応募である。）</w:t>
            </w:r>
          </w:p>
        </w:tc>
      </w:tr>
      <w:tr>
        <w:trPr>
          <w:trHeight w:val="522" w:hRule="atLeast"/>
        </w:trPr>
        <w:tc>
          <w:tcPr>
            <w:tcW w:w="511" w:type="dxa"/>
          </w:tcPr>
          <w:p>
            <w:pPr>
              <w:pStyle w:val="TableParagraph"/>
              <w:ind w:left="43" w:right="7"/>
              <w:jc w:val="center"/>
              <w:rPr>
                <w:sz w:val="20"/>
              </w:rPr>
            </w:pPr>
            <w:r>
              <w:rPr>
                <w:sz w:val="20"/>
              </w:rPr>
              <w:t>雇用</w:t>
            </w:r>
          </w:p>
        </w:tc>
        <w:tc>
          <w:tcPr>
            <w:tcW w:w="511" w:type="dxa"/>
          </w:tcPr>
          <w:p>
            <w:pPr>
              <w:pStyle w:val="TableParagraph"/>
              <w:ind w:right="25"/>
              <w:rPr>
                <w:sz w:val="20"/>
              </w:rPr>
            </w:pPr>
            <w:r>
              <w:rPr>
                <w:sz w:val="20"/>
              </w:rPr>
              <w:t>東青</w:t>
            </w:r>
          </w:p>
        </w:tc>
        <w:tc>
          <w:tcPr>
            <w:tcW w:w="1173" w:type="dxa"/>
          </w:tcPr>
          <w:p>
            <w:pPr>
              <w:pStyle w:val="TableParagraph"/>
              <w:spacing w:line="199" w:lineRule="auto" w:before="45"/>
              <w:ind w:left="395" w:right="58" w:hanging="300"/>
              <w:jc w:val="left"/>
              <w:rPr>
                <w:sz w:val="20"/>
              </w:rPr>
            </w:pPr>
            <w:r>
              <w:rPr>
                <w:sz w:val="20"/>
              </w:rPr>
              <w:t>新聞社求人広告</w:t>
            </w:r>
          </w:p>
        </w:tc>
        <w:tc>
          <w:tcPr>
            <w:tcW w:w="7024" w:type="dxa"/>
          </w:tcPr>
          <w:p>
            <w:pPr>
              <w:pStyle w:val="TableParagraph"/>
              <w:spacing w:line="199" w:lineRule="auto" w:before="45"/>
              <w:ind w:left="36" w:right="140"/>
              <w:jc w:val="left"/>
              <w:rPr>
                <w:sz w:val="20"/>
              </w:rPr>
            </w:pPr>
            <w:r>
              <w:rPr>
                <w:sz w:val="20"/>
              </w:rPr>
              <w:t>新幹線の開業によって、東京（首都圏）への出張日数が削減された話しも聞く。</w:t>
            </w:r>
          </w:p>
        </w:tc>
      </w:tr>
      <w:tr>
        <w:trPr>
          <w:trHeight w:val="796"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一般小売店</w:t>
            </w:r>
          </w:p>
        </w:tc>
        <w:tc>
          <w:tcPr>
            <w:tcW w:w="7024" w:type="dxa"/>
          </w:tcPr>
          <w:p>
            <w:pPr>
              <w:pStyle w:val="TableParagraph"/>
              <w:spacing w:line="199" w:lineRule="auto" w:before="69"/>
              <w:ind w:left="36" w:right="192"/>
              <w:jc w:val="left"/>
              <w:rPr>
                <w:sz w:val="20"/>
              </w:rPr>
            </w:pPr>
            <w:r>
              <w:rPr>
                <w:spacing w:val="-3"/>
                <w:sz w:val="20"/>
              </w:rPr>
              <w:t>かなり厳しい景気の感はあるが、楽観的もしくはポジティブなので、暗い考えは持っていません。皆が明るく希望を持てば、世の中の景気は上向くで  しょう。</w:t>
            </w:r>
          </w:p>
        </w:tc>
      </w:tr>
      <w:tr>
        <w:trPr>
          <w:trHeight w:val="79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7024" w:type="dxa"/>
          </w:tcPr>
          <w:p>
            <w:pPr>
              <w:pStyle w:val="TableParagraph"/>
              <w:spacing w:line="199" w:lineRule="auto" w:before="69"/>
              <w:ind w:left="36" w:right="192"/>
              <w:jc w:val="both"/>
              <w:rPr>
                <w:sz w:val="20"/>
              </w:rPr>
            </w:pPr>
            <w:r>
              <w:rPr>
                <w:spacing w:val="-3"/>
                <w:sz w:val="20"/>
              </w:rPr>
              <w:t>新道路をを作るために中土手町の店が立ち退き及び廃業し、その後、中土手町より下土手町に移転する店が目立つ。しかし下土手町が賑わっている感じは受けないが。</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240" w:lineRule="auto" w:before="119"/>
              <w:ind w:left="73" w:right="39"/>
              <w:jc w:val="center"/>
              <w:rPr>
                <w:sz w:val="20"/>
              </w:rPr>
            </w:pPr>
            <w:r>
              <w:rPr>
                <w:sz w:val="20"/>
              </w:rPr>
              <w:t>レストラン</w:t>
            </w:r>
          </w:p>
        </w:tc>
        <w:tc>
          <w:tcPr>
            <w:tcW w:w="7024" w:type="dxa"/>
          </w:tcPr>
          <w:p>
            <w:pPr>
              <w:pStyle w:val="TableParagraph"/>
              <w:spacing w:line="199" w:lineRule="auto" w:before="45"/>
              <w:ind w:left="36" w:right="140"/>
              <w:jc w:val="left"/>
              <w:rPr>
                <w:sz w:val="20"/>
              </w:rPr>
            </w:pPr>
            <w:r>
              <w:rPr>
                <w:sz w:val="20"/>
              </w:rPr>
              <w:t>季節的な問題で売上の上げ下げは有るが、新幹線、その他イベントがこれから利益増収につながるかは、その時にならなければと思う。</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240" w:lineRule="auto" w:before="119"/>
              <w:ind w:left="73" w:right="39"/>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津軽地方の主幹産業の農業に関する状況が好転の兆しがみえない。</w:t>
            </w:r>
          </w:p>
        </w:tc>
      </w:tr>
      <w:tr>
        <w:trPr>
          <w:trHeight w:val="796"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199" w:lineRule="auto" w:before="182"/>
              <w:ind w:left="295" w:right="58" w:hanging="200"/>
              <w:jc w:val="left"/>
              <w:rPr>
                <w:sz w:val="20"/>
              </w:rPr>
            </w:pPr>
            <w:r>
              <w:rPr>
                <w:sz w:val="20"/>
              </w:rPr>
              <w:t>ガソリンスタンド</w:t>
            </w:r>
          </w:p>
        </w:tc>
        <w:tc>
          <w:tcPr>
            <w:tcW w:w="7024" w:type="dxa"/>
          </w:tcPr>
          <w:p>
            <w:pPr>
              <w:pStyle w:val="TableParagraph"/>
              <w:spacing w:line="199" w:lineRule="auto" w:before="69"/>
              <w:ind w:left="36" w:right="192"/>
              <w:jc w:val="left"/>
              <w:rPr>
                <w:sz w:val="20"/>
              </w:rPr>
            </w:pPr>
            <w:r>
              <w:rPr>
                <w:spacing w:val="-3"/>
                <w:sz w:val="20"/>
              </w:rPr>
              <w:t>ワークシェアリングの話しで県より委託された方が説明にいらっしゃった  が、まずは官よりはじめたらいかがでしょうか。失業率も下がるし、景気も今よりは良くなるのではないでしょうか。</w:t>
            </w:r>
          </w:p>
        </w:tc>
      </w:tr>
      <w:tr>
        <w:trPr>
          <w:trHeight w:val="79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津軽</w:t>
            </w:r>
          </w:p>
        </w:tc>
        <w:tc>
          <w:tcPr>
            <w:tcW w:w="1173" w:type="dxa"/>
          </w:tcPr>
          <w:p>
            <w:pPr>
              <w:pStyle w:val="TableParagraph"/>
              <w:spacing w:line="199" w:lineRule="auto" w:before="182"/>
              <w:ind w:left="494" w:right="58" w:hanging="399"/>
              <w:jc w:val="left"/>
              <w:rPr>
                <w:sz w:val="20"/>
              </w:rPr>
            </w:pPr>
            <w:r>
              <w:rPr>
                <w:sz w:val="20"/>
              </w:rPr>
              <w:t>住宅建設販売</w:t>
            </w:r>
          </w:p>
        </w:tc>
        <w:tc>
          <w:tcPr>
            <w:tcW w:w="7024" w:type="dxa"/>
          </w:tcPr>
          <w:p>
            <w:pPr>
              <w:pStyle w:val="TableParagraph"/>
              <w:spacing w:line="199" w:lineRule="auto" w:before="69"/>
              <w:ind w:left="36" w:right="192"/>
              <w:jc w:val="left"/>
              <w:rPr>
                <w:sz w:val="20"/>
              </w:rPr>
            </w:pPr>
            <w:r>
              <w:rPr>
                <w:spacing w:val="-3"/>
                <w:sz w:val="20"/>
              </w:rPr>
              <w:t>圏内の景気回復の鍵は、地元金融機関の対応が非常に大きい。県民や地元企業に、もっと厚い取組みをしなければ、景気の回復は当分無理。県として  も、このアンケートを十分生かして、真剣に対処すべきだ！</w:t>
            </w:r>
          </w:p>
        </w:tc>
      </w:tr>
    </w:tbl>
    <w:p>
      <w:pPr>
        <w:spacing w:after="0" w:line="199" w:lineRule="auto"/>
        <w:jc w:val="left"/>
        <w:rPr>
          <w:sz w:val="20"/>
        </w:rPr>
        <w:sectPr>
          <w:pgSz w:w="11900" w:h="16840"/>
          <w:pgMar w:header="0" w:footer="765" w:top="1600" w:bottom="104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43"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796" w:hRule="atLeast"/>
        </w:trPr>
        <w:tc>
          <w:tcPr>
            <w:tcW w:w="511" w:type="dxa"/>
          </w:tcPr>
          <w:p>
            <w:pPr>
              <w:pStyle w:val="TableParagraph"/>
              <w:ind w:left="43" w:right="7"/>
              <w:jc w:val="center"/>
              <w:rPr>
                <w:sz w:val="20"/>
              </w:rPr>
            </w:pPr>
            <w:r>
              <w:rPr>
                <w:sz w:val="20"/>
              </w:rPr>
              <w:t>企業</w:t>
            </w:r>
          </w:p>
        </w:tc>
        <w:tc>
          <w:tcPr>
            <w:tcW w:w="511" w:type="dxa"/>
          </w:tcPr>
          <w:p>
            <w:pPr>
              <w:pStyle w:val="TableParagraph"/>
              <w:ind w:right="25"/>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飲料品製造</w:t>
            </w:r>
          </w:p>
        </w:tc>
        <w:tc>
          <w:tcPr>
            <w:tcW w:w="7024" w:type="dxa"/>
          </w:tcPr>
          <w:p>
            <w:pPr>
              <w:pStyle w:val="TableParagraph"/>
              <w:spacing w:line="199" w:lineRule="auto" w:before="69"/>
              <w:ind w:left="36" w:right="192"/>
              <w:jc w:val="both"/>
              <w:rPr>
                <w:sz w:val="20"/>
              </w:rPr>
            </w:pPr>
            <w:r>
              <w:rPr>
                <w:spacing w:val="-3"/>
                <w:sz w:val="20"/>
              </w:rPr>
              <w:t>最近よく聞かれる。過去の繁栄に取り付かれることなく、これが、現在最高の景気だと受け止め、現実を見つめ、柔軟に対応しないといけないと。腹が据わってきている。</w:t>
            </w:r>
          </w:p>
        </w:tc>
      </w:tr>
      <w:tr>
        <w:trPr>
          <w:trHeight w:val="522" w:hRule="atLeast"/>
        </w:trPr>
        <w:tc>
          <w:tcPr>
            <w:tcW w:w="511" w:type="dxa"/>
          </w:tcPr>
          <w:p>
            <w:pPr>
              <w:pStyle w:val="TableParagraph"/>
              <w:ind w:left="43" w:right="7"/>
              <w:jc w:val="center"/>
              <w:rPr>
                <w:sz w:val="20"/>
              </w:rPr>
            </w:pPr>
            <w:r>
              <w:rPr>
                <w:sz w:val="20"/>
              </w:rPr>
              <w:t>企業</w:t>
            </w:r>
          </w:p>
        </w:tc>
        <w:tc>
          <w:tcPr>
            <w:tcW w:w="511" w:type="dxa"/>
          </w:tcPr>
          <w:p>
            <w:pPr>
              <w:pStyle w:val="TableParagraph"/>
              <w:ind w:right="25"/>
              <w:rPr>
                <w:sz w:val="20"/>
              </w:rPr>
            </w:pPr>
            <w:r>
              <w:rPr>
                <w:sz w:val="20"/>
              </w:rPr>
              <w:t>津軽</w:t>
            </w:r>
          </w:p>
        </w:tc>
        <w:tc>
          <w:tcPr>
            <w:tcW w:w="1173" w:type="dxa"/>
          </w:tcPr>
          <w:p>
            <w:pPr>
              <w:pStyle w:val="TableParagraph"/>
              <w:spacing w:line="199" w:lineRule="auto" w:before="45"/>
              <w:ind w:left="494" w:right="58" w:hanging="399"/>
              <w:jc w:val="left"/>
              <w:rPr>
                <w:sz w:val="20"/>
              </w:rPr>
            </w:pPr>
            <w:r>
              <w:rPr>
                <w:sz w:val="20"/>
              </w:rPr>
              <w:t>電気機械製造</w:t>
            </w:r>
          </w:p>
        </w:tc>
        <w:tc>
          <w:tcPr>
            <w:tcW w:w="7024" w:type="dxa"/>
          </w:tcPr>
          <w:p>
            <w:pPr>
              <w:pStyle w:val="TableParagraph"/>
              <w:spacing w:line="199" w:lineRule="auto" w:before="45"/>
              <w:ind w:left="36" w:right="339"/>
              <w:jc w:val="left"/>
              <w:rPr>
                <w:sz w:val="20"/>
              </w:rPr>
            </w:pPr>
            <w:r>
              <w:rPr>
                <w:sz w:val="20"/>
              </w:rPr>
              <w:t>今、電気業界はトヨタ生産方式に学ぶ生産革新が浸透しつつあります。今後、益々、新卒者の就職が難しくなると思います。</w:t>
            </w:r>
          </w:p>
        </w:tc>
      </w:tr>
      <w:tr>
        <w:trPr>
          <w:trHeight w:val="795" w:hRule="atLeast"/>
        </w:trPr>
        <w:tc>
          <w:tcPr>
            <w:tcW w:w="511" w:type="dxa"/>
          </w:tcPr>
          <w:p>
            <w:pPr>
              <w:pStyle w:val="TableParagraph"/>
              <w:ind w:left="43" w:right="7"/>
              <w:jc w:val="center"/>
              <w:rPr>
                <w:sz w:val="20"/>
              </w:rPr>
            </w:pPr>
            <w:r>
              <w:rPr>
                <w:sz w:val="20"/>
              </w:rPr>
              <w:t>企業</w:t>
            </w:r>
          </w:p>
        </w:tc>
        <w:tc>
          <w:tcPr>
            <w:tcW w:w="511" w:type="dxa"/>
          </w:tcPr>
          <w:p>
            <w:pPr>
              <w:pStyle w:val="TableParagraph"/>
              <w:ind w:right="25"/>
              <w:rPr>
                <w:sz w:val="20"/>
              </w:rPr>
            </w:pPr>
            <w:r>
              <w:rPr>
                <w:sz w:val="20"/>
              </w:rPr>
              <w:t>津軽</w:t>
            </w:r>
          </w:p>
        </w:tc>
        <w:tc>
          <w:tcPr>
            <w:tcW w:w="1173" w:type="dxa"/>
          </w:tcPr>
          <w:p>
            <w:pPr>
              <w:pStyle w:val="TableParagraph"/>
              <w:spacing w:line="199" w:lineRule="auto" w:before="182"/>
              <w:ind w:left="395" w:right="58" w:hanging="300"/>
              <w:jc w:val="left"/>
              <w:rPr>
                <w:sz w:val="20"/>
              </w:rPr>
            </w:pPr>
            <w:r>
              <w:rPr>
                <w:sz w:val="20"/>
              </w:rPr>
              <w:t>広告・デザイン</w:t>
            </w:r>
          </w:p>
        </w:tc>
        <w:tc>
          <w:tcPr>
            <w:tcW w:w="7024" w:type="dxa"/>
          </w:tcPr>
          <w:p>
            <w:pPr>
              <w:pStyle w:val="TableParagraph"/>
              <w:spacing w:line="199" w:lineRule="auto" w:before="69"/>
              <w:ind w:left="36" w:right="192"/>
              <w:jc w:val="both"/>
              <w:rPr>
                <w:sz w:val="20"/>
              </w:rPr>
            </w:pPr>
            <w:r>
              <w:rPr>
                <w:spacing w:val="-3"/>
                <w:sz w:val="20"/>
              </w:rPr>
              <w:t>株価一万円等明るいニュースも有り、これに拍車をかけ、景気回復を論ずる様であれば良いが、依然として派閥による人事争い。いつまで耐えればいいのか、不安を越え不満。</w:t>
            </w:r>
          </w:p>
        </w:tc>
      </w:tr>
      <w:tr>
        <w:trPr>
          <w:trHeight w:val="796"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百貨店</w:t>
            </w:r>
          </w:p>
        </w:tc>
        <w:tc>
          <w:tcPr>
            <w:tcW w:w="7024" w:type="dxa"/>
          </w:tcPr>
          <w:p>
            <w:pPr>
              <w:pStyle w:val="TableParagraph"/>
              <w:spacing w:line="199" w:lineRule="auto" w:before="69"/>
              <w:ind w:left="36" w:right="192"/>
              <w:jc w:val="both"/>
              <w:rPr>
                <w:sz w:val="20"/>
              </w:rPr>
            </w:pPr>
            <w:r>
              <w:rPr>
                <w:spacing w:val="-3"/>
                <w:sz w:val="20"/>
              </w:rPr>
              <w:t>郊外店（大手スーパー）に営業時間延長の動き（深夜営業）あり。店にも客にもメリットはないが、やってしまう（中央からの指示により）。法的・公的規制・調整が必要かもしれない。</w:t>
            </w:r>
          </w:p>
        </w:tc>
      </w:tr>
      <w:tr>
        <w:trPr>
          <w:trHeight w:val="1067"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スーパー</w:t>
            </w:r>
          </w:p>
        </w:tc>
        <w:tc>
          <w:tcPr>
            <w:tcW w:w="7024" w:type="dxa"/>
          </w:tcPr>
          <w:p>
            <w:pPr>
              <w:pStyle w:val="TableParagraph"/>
              <w:spacing w:line="199" w:lineRule="auto" w:before="93"/>
              <w:ind w:left="36" w:right="192"/>
              <w:jc w:val="both"/>
              <w:rPr>
                <w:sz w:val="20"/>
              </w:rPr>
            </w:pPr>
            <w:r>
              <w:rPr>
                <w:spacing w:val="-3"/>
                <w:sz w:val="20"/>
              </w:rPr>
              <w:t>８月上旬のお祭りの集中は、なんとか談合できまいか？ねぶた、ねぷた、三社大祭とピークに重なり、あれでは駆け足で２カ所かけもちが精一杯。日をずらせば、それぞれに落ちる金も増えるだろう。伝統もあろうが、了見の狭さを感じる。</w:t>
            </w:r>
          </w:p>
        </w:tc>
      </w:tr>
      <w:tr>
        <w:trPr>
          <w:trHeight w:val="1067"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乗用車販売</w:t>
            </w:r>
          </w:p>
        </w:tc>
        <w:tc>
          <w:tcPr>
            <w:tcW w:w="7024" w:type="dxa"/>
          </w:tcPr>
          <w:p>
            <w:pPr>
              <w:pStyle w:val="TableParagraph"/>
              <w:spacing w:line="199" w:lineRule="auto" w:before="93"/>
              <w:ind w:left="36" w:right="192"/>
              <w:jc w:val="both"/>
              <w:rPr>
                <w:sz w:val="20"/>
              </w:rPr>
            </w:pPr>
            <w:r>
              <w:rPr>
                <w:spacing w:val="-3"/>
                <w:sz w:val="20"/>
              </w:rPr>
              <w:t>公務員の賞与が減った（？）らしく、併せて保険の天引きの％が上昇し、手取り額が実質的に少なくなり、大きな買物（ボーナス払いを組み込む）が出来なくなったと、お客様が話していた。企業は倒産するが、国は倒産しないという、おごりの世界が変わってきたのでは。</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19"/>
              <w:ind w:left="73" w:right="39"/>
              <w:jc w:val="center"/>
              <w:rPr>
                <w:sz w:val="20"/>
              </w:rPr>
            </w:pPr>
            <w:r>
              <w:rPr>
                <w:sz w:val="20"/>
              </w:rPr>
              <w:t>衣料専門店</w:t>
            </w:r>
          </w:p>
        </w:tc>
        <w:tc>
          <w:tcPr>
            <w:tcW w:w="7024" w:type="dxa"/>
          </w:tcPr>
          <w:p>
            <w:pPr>
              <w:pStyle w:val="TableParagraph"/>
              <w:spacing w:line="199" w:lineRule="auto" w:before="45"/>
              <w:ind w:left="36" w:right="140"/>
              <w:jc w:val="left"/>
              <w:rPr>
                <w:sz w:val="20"/>
              </w:rPr>
            </w:pPr>
            <w:r>
              <w:rPr>
                <w:sz w:val="20"/>
              </w:rPr>
              <w:t>私の地域では、ゆっくりお茶を飲める場所が少なくなり、ファーストフード店だけになってきてます。</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19"/>
              <w:ind w:left="73" w:right="39"/>
              <w:jc w:val="center"/>
              <w:rPr>
                <w:sz w:val="20"/>
              </w:rPr>
            </w:pPr>
            <w:r>
              <w:rPr>
                <w:sz w:val="20"/>
              </w:rPr>
              <w:t>家電量販店</w:t>
            </w:r>
          </w:p>
        </w:tc>
        <w:tc>
          <w:tcPr>
            <w:tcW w:w="7024" w:type="dxa"/>
          </w:tcPr>
          <w:p>
            <w:pPr>
              <w:pStyle w:val="TableParagraph"/>
              <w:spacing w:line="240" w:lineRule="auto" w:before="119"/>
              <w:ind w:left="36"/>
              <w:jc w:val="left"/>
              <w:rPr>
                <w:sz w:val="20"/>
              </w:rPr>
            </w:pPr>
            <w:r>
              <w:rPr>
                <w:sz w:val="20"/>
              </w:rPr>
              <w:t>保険料の増加による買い控えの発生。</w:t>
            </w:r>
          </w:p>
        </w:tc>
      </w:tr>
      <w:tr>
        <w:trPr>
          <w:trHeight w:val="79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一般小売店</w:t>
            </w:r>
          </w:p>
        </w:tc>
        <w:tc>
          <w:tcPr>
            <w:tcW w:w="7024" w:type="dxa"/>
          </w:tcPr>
          <w:p>
            <w:pPr>
              <w:pStyle w:val="TableParagraph"/>
              <w:spacing w:line="199" w:lineRule="auto" w:before="69"/>
              <w:ind w:left="36" w:right="192"/>
              <w:jc w:val="both"/>
              <w:rPr>
                <w:sz w:val="20"/>
              </w:rPr>
            </w:pPr>
            <w:r>
              <w:rPr>
                <w:spacing w:val="-3"/>
                <w:sz w:val="20"/>
              </w:rPr>
              <w:t>ビジネスホテルが相次いで開業予定である。新幹線開業の影響は明らかであるが、県外資本の低価格路線なので、既存店はそれなりの影響を受けると思われる。利用客にとっては歓迎すべき状況である。</w:t>
            </w:r>
          </w:p>
        </w:tc>
      </w:tr>
      <w:tr>
        <w:trPr>
          <w:trHeight w:val="79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7024" w:type="dxa"/>
          </w:tcPr>
          <w:p>
            <w:pPr>
              <w:pStyle w:val="TableParagraph"/>
              <w:spacing w:line="199" w:lineRule="auto" w:before="182"/>
              <w:ind w:left="36" w:right="339"/>
              <w:jc w:val="left"/>
              <w:rPr>
                <w:sz w:val="20"/>
              </w:rPr>
            </w:pPr>
            <w:r>
              <w:rPr>
                <w:sz w:val="20"/>
              </w:rPr>
              <w:t>政界から発せられる暗いニュースがそのまま経済界に不景気を更に増長する。くだらない原因で県民を苦しめないでほしい。</w:t>
            </w:r>
          </w:p>
        </w:tc>
      </w:tr>
      <w:tr>
        <w:trPr>
          <w:trHeight w:val="1067"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レストラン</w:t>
            </w:r>
          </w:p>
        </w:tc>
        <w:tc>
          <w:tcPr>
            <w:tcW w:w="7024" w:type="dxa"/>
          </w:tcPr>
          <w:p>
            <w:pPr>
              <w:pStyle w:val="TableParagraph"/>
              <w:spacing w:line="199" w:lineRule="auto" w:before="93"/>
              <w:ind w:left="36" w:right="192"/>
              <w:jc w:val="both"/>
              <w:rPr>
                <w:sz w:val="20"/>
              </w:rPr>
            </w:pPr>
            <w:r>
              <w:rPr>
                <w:spacing w:val="-3"/>
                <w:sz w:val="20"/>
              </w:rPr>
              <w:t>大企業でさえリストラをしているのに、中小企業が雇用が出来るものではない。若い者のフリーターが増え、職業能力が失われ、低所得で未婚、晩婚が多くなり、経済成長にもつながらない。公的に観光事業を考えても良いと思います。</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19"/>
              <w:ind w:left="73" w:right="39"/>
              <w:jc w:val="center"/>
              <w:rPr>
                <w:sz w:val="20"/>
              </w:rPr>
            </w:pPr>
            <w:r>
              <w:rPr>
                <w:sz w:val="20"/>
              </w:rPr>
              <w:t>美容院</w:t>
            </w:r>
          </w:p>
        </w:tc>
        <w:tc>
          <w:tcPr>
            <w:tcW w:w="7024" w:type="dxa"/>
          </w:tcPr>
          <w:p>
            <w:pPr>
              <w:pStyle w:val="TableParagraph"/>
              <w:spacing w:line="199" w:lineRule="auto" w:before="45"/>
              <w:ind w:left="36" w:right="140"/>
              <w:jc w:val="left"/>
              <w:rPr>
                <w:sz w:val="20"/>
              </w:rPr>
            </w:pPr>
            <w:r>
              <w:rPr>
                <w:sz w:val="20"/>
              </w:rPr>
              <w:t>政治不信です。政治家は、地域、国民に目を向け、今、何が必要か考えるべき。</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119"/>
              <w:ind w:left="73" w:right="39"/>
              <w:jc w:val="center"/>
              <w:rPr>
                <w:sz w:val="20"/>
              </w:rPr>
            </w:pPr>
            <w:r>
              <w:rPr>
                <w:sz w:val="20"/>
              </w:rPr>
              <w:t>設計事務所</w:t>
            </w:r>
          </w:p>
        </w:tc>
        <w:tc>
          <w:tcPr>
            <w:tcW w:w="7024" w:type="dxa"/>
          </w:tcPr>
          <w:p>
            <w:pPr>
              <w:pStyle w:val="TableParagraph"/>
              <w:spacing w:line="240" w:lineRule="auto" w:before="119"/>
              <w:ind w:left="36"/>
              <w:jc w:val="left"/>
              <w:rPr>
                <w:sz w:val="20"/>
              </w:rPr>
            </w:pPr>
            <w:r>
              <w:rPr>
                <w:sz w:val="20"/>
              </w:rPr>
              <w:t>三村新知事に期待する。</w:t>
            </w:r>
          </w:p>
        </w:tc>
      </w:tr>
      <w:tr>
        <w:trPr>
          <w:trHeight w:val="1271" w:hRule="atLeast"/>
        </w:trPr>
        <w:tc>
          <w:tcPr>
            <w:tcW w:w="511" w:type="dxa"/>
          </w:tcPr>
          <w:p>
            <w:pPr>
              <w:pStyle w:val="TableParagraph"/>
              <w:ind w:left="43" w:right="7"/>
              <w:jc w:val="center"/>
              <w:rPr>
                <w:sz w:val="20"/>
              </w:rPr>
            </w:pPr>
            <w:r>
              <w:rPr>
                <w:sz w:val="20"/>
              </w:rPr>
              <w:t>企業</w:t>
            </w:r>
          </w:p>
        </w:tc>
        <w:tc>
          <w:tcPr>
            <w:tcW w:w="511" w:type="dxa"/>
          </w:tcPr>
          <w:p>
            <w:pPr>
              <w:pStyle w:val="TableParagraph"/>
              <w:ind w:right="25"/>
              <w:rPr>
                <w:sz w:val="20"/>
              </w:rPr>
            </w:pPr>
            <w:r>
              <w:rPr>
                <w:sz w:val="20"/>
              </w:rPr>
              <w:t>県南</w:t>
            </w:r>
          </w:p>
        </w:tc>
        <w:tc>
          <w:tcPr>
            <w:tcW w:w="1173" w:type="dxa"/>
          </w:tcPr>
          <w:p>
            <w:pPr>
              <w:pStyle w:val="TableParagraph"/>
              <w:spacing w:line="240" w:lineRule="auto" w:before="4"/>
              <w:jc w:val="left"/>
              <w:rPr>
                <w:sz w:val="31"/>
              </w:rPr>
            </w:pPr>
          </w:p>
          <w:p>
            <w:pPr>
              <w:pStyle w:val="TableParagraph"/>
              <w:spacing w:line="199" w:lineRule="auto"/>
              <w:ind w:left="494" w:right="58" w:hanging="399"/>
              <w:jc w:val="left"/>
              <w:rPr>
                <w:sz w:val="20"/>
              </w:rPr>
            </w:pPr>
            <w:r>
              <w:rPr>
                <w:sz w:val="20"/>
              </w:rPr>
              <w:t>電気機械製造</w:t>
            </w:r>
          </w:p>
        </w:tc>
        <w:tc>
          <w:tcPr>
            <w:tcW w:w="7024" w:type="dxa"/>
          </w:tcPr>
          <w:p>
            <w:pPr>
              <w:pStyle w:val="TableParagraph"/>
              <w:spacing w:line="199" w:lineRule="auto" w:before="83"/>
              <w:ind w:left="36" w:right="192"/>
              <w:jc w:val="left"/>
              <w:rPr>
                <w:sz w:val="20"/>
              </w:rPr>
            </w:pPr>
            <w:r>
              <w:rPr>
                <w:spacing w:val="-3"/>
                <w:sz w:val="20"/>
              </w:rPr>
              <w:t>フェリー運航会社の会社更生法申請で航路や便数が減らないか心配。けっこう北海道観光は根強い人気があり、これから増える年金生活者の中でも金銭的余裕のある人の、車での来県が期待できる。もし、減便などあるような  ら、青函トンネルカートレインの実施などで対策をうつように県が動くべきと思う。</w:t>
            </w:r>
          </w:p>
        </w:tc>
      </w:tr>
      <w:tr>
        <w:trPr>
          <w:trHeight w:val="522" w:hRule="atLeast"/>
        </w:trPr>
        <w:tc>
          <w:tcPr>
            <w:tcW w:w="511" w:type="dxa"/>
          </w:tcPr>
          <w:p>
            <w:pPr>
              <w:pStyle w:val="TableParagraph"/>
              <w:ind w:left="43" w:right="7"/>
              <w:jc w:val="center"/>
              <w:rPr>
                <w:sz w:val="20"/>
              </w:rPr>
            </w:pPr>
            <w:r>
              <w:rPr>
                <w:sz w:val="20"/>
              </w:rPr>
              <w:t>企業</w:t>
            </w:r>
          </w:p>
        </w:tc>
        <w:tc>
          <w:tcPr>
            <w:tcW w:w="511" w:type="dxa"/>
          </w:tcPr>
          <w:p>
            <w:pPr>
              <w:pStyle w:val="TableParagraph"/>
              <w:ind w:right="25"/>
              <w:rPr>
                <w:sz w:val="20"/>
              </w:rPr>
            </w:pPr>
            <w:r>
              <w:rPr>
                <w:sz w:val="20"/>
              </w:rPr>
              <w:t>県南</w:t>
            </w:r>
          </w:p>
        </w:tc>
        <w:tc>
          <w:tcPr>
            <w:tcW w:w="1173" w:type="dxa"/>
          </w:tcPr>
          <w:p>
            <w:pPr>
              <w:pStyle w:val="TableParagraph"/>
              <w:spacing w:line="199" w:lineRule="auto" w:before="45"/>
              <w:ind w:left="196" w:right="58" w:hanging="101"/>
              <w:jc w:val="left"/>
              <w:rPr>
                <w:sz w:val="20"/>
              </w:rPr>
            </w:pPr>
            <w:r>
              <w:rPr>
                <w:sz w:val="20"/>
              </w:rPr>
              <w:t>経営コンサルタント</w:t>
            </w:r>
          </w:p>
        </w:tc>
        <w:tc>
          <w:tcPr>
            <w:tcW w:w="7024" w:type="dxa"/>
          </w:tcPr>
          <w:p>
            <w:pPr>
              <w:pStyle w:val="TableParagraph"/>
              <w:spacing w:line="199" w:lineRule="auto" w:before="45"/>
              <w:ind w:left="36" w:right="339"/>
              <w:jc w:val="left"/>
              <w:rPr>
                <w:sz w:val="20"/>
              </w:rPr>
            </w:pPr>
            <w:r>
              <w:rPr>
                <w:sz w:val="20"/>
              </w:rPr>
              <w:t>金融関係が一時ほどきびしくない様に思う。中小企業に対する取扱いが変わったからか。金融政策が間違っていたので、不況感が強かった。</w:t>
            </w:r>
          </w:p>
        </w:tc>
      </w:tr>
      <w:tr>
        <w:trPr>
          <w:trHeight w:val="796"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コンビニ</w:t>
            </w:r>
          </w:p>
        </w:tc>
        <w:tc>
          <w:tcPr>
            <w:tcW w:w="7024" w:type="dxa"/>
          </w:tcPr>
          <w:p>
            <w:pPr>
              <w:pStyle w:val="TableParagraph"/>
              <w:spacing w:line="199" w:lineRule="auto" w:before="69"/>
              <w:ind w:left="36" w:right="192"/>
              <w:jc w:val="both"/>
              <w:rPr>
                <w:sz w:val="20"/>
              </w:rPr>
            </w:pPr>
            <w:r>
              <w:rPr>
                <w:spacing w:val="-3"/>
                <w:sz w:val="20"/>
              </w:rPr>
              <w:t>もっと質問をふやしてほしい（３０問ぐらい）。むつ市に、今年中に、スーパーマーケットが４社４店舗、コンビニが３店舗と開店ラッシュで競争が激しくなりそうです。</w:t>
            </w:r>
          </w:p>
        </w:tc>
      </w:tr>
    </w:tbl>
    <w:p>
      <w:pPr>
        <w:spacing w:after="0" w:line="199" w:lineRule="auto"/>
        <w:jc w:val="both"/>
        <w:rPr>
          <w:sz w:val="20"/>
        </w:rPr>
        <w:sectPr>
          <w:pgSz w:w="11900" w:h="16840"/>
          <w:pgMar w:header="0" w:footer="765" w:top="1420" w:bottom="960" w:left="1000" w:right="106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43" w:right="7"/>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271"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11"/>
              <w:jc w:val="left"/>
              <w:rPr>
                <w:sz w:val="36"/>
              </w:rPr>
            </w:pPr>
          </w:p>
          <w:p>
            <w:pPr>
              <w:pStyle w:val="TableParagraph"/>
              <w:spacing w:line="240" w:lineRule="auto"/>
              <w:ind w:left="73" w:right="39"/>
              <w:jc w:val="center"/>
              <w:rPr>
                <w:sz w:val="20"/>
              </w:rPr>
            </w:pPr>
            <w:r>
              <w:rPr>
                <w:sz w:val="20"/>
              </w:rPr>
              <w:t>一般小売店</w:t>
            </w:r>
          </w:p>
        </w:tc>
        <w:tc>
          <w:tcPr>
            <w:tcW w:w="7024" w:type="dxa"/>
          </w:tcPr>
          <w:p>
            <w:pPr>
              <w:pStyle w:val="TableParagraph"/>
              <w:spacing w:line="199" w:lineRule="auto" w:before="83"/>
              <w:ind w:left="36" w:right="192"/>
              <w:jc w:val="both"/>
              <w:rPr>
                <w:sz w:val="20"/>
              </w:rPr>
            </w:pPr>
            <w:r>
              <w:rPr>
                <w:spacing w:val="-3"/>
                <w:sz w:val="20"/>
              </w:rPr>
              <w:t>夫が公務員のお客様が「今年もまたボーナスが減って、家と車のローンで全部持っていかれた。前は貯金もできたし、お買い物もできたのにねぇ」なんて言ってました。一般の企業は、減給は今の時代当たり前のように聞きますが、公務員まで減給していったら一体だれがお金を使ってくれるんでしょうか？</w:t>
            </w:r>
          </w:p>
        </w:tc>
      </w:tr>
      <w:tr>
        <w:trPr>
          <w:trHeight w:val="147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jc w:val="left"/>
              <w:rPr>
                <w:sz w:val="26"/>
              </w:rPr>
            </w:pPr>
          </w:p>
          <w:p>
            <w:pPr>
              <w:pStyle w:val="TableParagraph"/>
              <w:spacing w:line="240" w:lineRule="auto" w:before="7"/>
              <w:jc w:val="left"/>
              <w:rPr>
                <w:sz w:val="18"/>
              </w:rPr>
            </w:pPr>
          </w:p>
          <w:p>
            <w:pPr>
              <w:pStyle w:val="TableParagraph"/>
              <w:spacing w:line="240" w:lineRule="auto"/>
              <w:ind w:left="73" w:right="39"/>
              <w:jc w:val="center"/>
              <w:rPr>
                <w:sz w:val="20"/>
              </w:rPr>
            </w:pPr>
            <w:r>
              <w:rPr>
                <w:sz w:val="20"/>
              </w:rPr>
              <w:t>一般飲食店</w:t>
            </w:r>
          </w:p>
        </w:tc>
        <w:tc>
          <w:tcPr>
            <w:tcW w:w="7024" w:type="dxa"/>
          </w:tcPr>
          <w:p>
            <w:pPr>
              <w:pStyle w:val="TableParagraph"/>
              <w:spacing w:line="199" w:lineRule="auto" w:before="74"/>
              <w:ind w:left="36" w:right="192"/>
              <w:jc w:val="left"/>
              <w:rPr>
                <w:sz w:val="20"/>
              </w:rPr>
            </w:pPr>
            <w:r>
              <w:rPr>
                <w:spacing w:val="-3"/>
                <w:sz w:val="20"/>
              </w:rPr>
              <w:t>私も７２歳。４６年間店にかけて生きてきて、あと４年、５０周年まで頑張ろうと思っていましたが、先が暗闇です。どうすれば良いか、とても心配  で、考えあぐんでいます。でも、あの戦争前後を経験していますので、なんとか生きていけるなと思います。消費税を上げれば、もっともっと悪くなると思います。３％の時から、物を買う気が失せたのです。５％になって、またまた買わなくなりました。これからは必要最小限で生きねばなりません。</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119"/>
              <w:ind w:left="73" w:right="39"/>
              <w:jc w:val="center"/>
              <w:rPr>
                <w:sz w:val="20"/>
              </w:rPr>
            </w:pPr>
            <w:r>
              <w:rPr>
                <w:sz w:val="20"/>
              </w:rPr>
              <w:t>レストラン</w:t>
            </w:r>
          </w:p>
        </w:tc>
        <w:tc>
          <w:tcPr>
            <w:tcW w:w="7024" w:type="dxa"/>
          </w:tcPr>
          <w:p>
            <w:pPr>
              <w:pStyle w:val="TableParagraph"/>
              <w:spacing w:line="199" w:lineRule="auto" w:before="45"/>
              <w:ind w:left="36" w:right="140"/>
              <w:jc w:val="left"/>
              <w:rPr>
                <w:sz w:val="20"/>
              </w:rPr>
            </w:pPr>
            <w:r>
              <w:rPr>
                <w:sz w:val="20"/>
              </w:rPr>
              <w:t>職安へ行ってきました。自分に合った仕事を探すことなんてできない今、正職員なんて夢のまた夢。若い子達のこれからが心配です。</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119"/>
              <w:ind w:left="73" w:right="36"/>
              <w:jc w:val="center"/>
              <w:rPr>
                <w:sz w:val="20"/>
              </w:rPr>
            </w:pPr>
            <w:r>
              <w:rPr>
                <w:sz w:val="20"/>
              </w:rPr>
              <w:t>スナック</w:t>
            </w:r>
          </w:p>
        </w:tc>
        <w:tc>
          <w:tcPr>
            <w:tcW w:w="7024" w:type="dxa"/>
          </w:tcPr>
          <w:p>
            <w:pPr>
              <w:pStyle w:val="TableParagraph"/>
              <w:spacing w:line="240" w:lineRule="auto" w:before="119"/>
              <w:ind w:left="36"/>
              <w:jc w:val="left"/>
              <w:rPr>
                <w:sz w:val="20"/>
              </w:rPr>
            </w:pPr>
            <w:r>
              <w:rPr>
                <w:sz w:val="20"/>
              </w:rPr>
              <w:t>建設業次第。</w:t>
            </w:r>
          </w:p>
        </w:tc>
      </w:tr>
      <w:tr>
        <w:trPr>
          <w:trHeight w:val="1067"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8"/>
              <w:jc w:val="left"/>
              <w:rPr>
                <w:sz w:val="23"/>
              </w:rPr>
            </w:pPr>
          </w:p>
          <w:p>
            <w:pPr>
              <w:pStyle w:val="TableParagraph"/>
              <w:spacing w:line="199" w:lineRule="auto"/>
              <w:ind w:left="494" w:right="58" w:hanging="399"/>
              <w:jc w:val="left"/>
              <w:rPr>
                <w:sz w:val="20"/>
              </w:rPr>
            </w:pPr>
            <w:r>
              <w:rPr>
                <w:sz w:val="20"/>
              </w:rPr>
              <w:t>都市型ホテル</w:t>
            </w:r>
          </w:p>
        </w:tc>
        <w:tc>
          <w:tcPr>
            <w:tcW w:w="7024" w:type="dxa"/>
          </w:tcPr>
          <w:p>
            <w:pPr>
              <w:pStyle w:val="TableParagraph"/>
              <w:spacing w:line="199" w:lineRule="auto" w:before="93"/>
              <w:ind w:left="36" w:right="192"/>
              <w:jc w:val="both"/>
              <w:rPr>
                <w:sz w:val="20"/>
              </w:rPr>
            </w:pPr>
            <w:r>
              <w:rPr>
                <w:spacing w:val="-3"/>
                <w:sz w:val="20"/>
              </w:rPr>
              <w:t>都会の人々は、恐山はむつ市の近くにあり、八戸から１時間位のアクセスで行けるものと考えている人々が多い。また、イタコも常時いるものと考え、観光に対応した受入れ体制ができているものと思い、そのギャップに不満を持っている。</w:t>
            </w:r>
          </w:p>
        </w:tc>
      </w:tr>
      <w:tr>
        <w:trPr>
          <w:trHeight w:val="795"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タクシー</w:t>
            </w:r>
          </w:p>
        </w:tc>
        <w:tc>
          <w:tcPr>
            <w:tcW w:w="7024" w:type="dxa"/>
          </w:tcPr>
          <w:p>
            <w:pPr>
              <w:pStyle w:val="TableParagraph"/>
              <w:spacing w:line="199" w:lineRule="auto" w:before="69"/>
              <w:ind w:left="36" w:right="192"/>
              <w:jc w:val="both"/>
              <w:rPr>
                <w:sz w:val="20"/>
              </w:rPr>
            </w:pPr>
            <w:r>
              <w:rPr>
                <w:spacing w:val="-3"/>
                <w:sz w:val="20"/>
              </w:rPr>
              <w:t>中小企業等（特にサービス業）の賞与は１５年度夏・冬とも期待出来ないうえ、さらに今春から賃下げがまかり通っている現実はまぬがれない。もはや地獄の世界である。</w:t>
            </w:r>
          </w:p>
        </w:tc>
      </w:tr>
      <w:tr>
        <w:trPr>
          <w:trHeight w:val="522" w:hRule="atLeast"/>
        </w:trPr>
        <w:tc>
          <w:tcPr>
            <w:tcW w:w="511" w:type="dxa"/>
          </w:tcPr>
          <w:p>
            <w:pPr>
              <w:pStyle w:val="TableParagraph"/>
              <w:ind w:left="43" w:right="7"/>
              <w:jc w:val="center"/>
              <w:rPr>
                <w:sz w:val="20"/>
              </w:rPr>
            </w:pPr>
            <w:r>
              <w:rPr>
                <w:sz w:val="20"/>
              </w:rPr>
              <w:t>家計</w:t>
            </w:r>
          </w:p>
        </w:tc>
        <w:tc>
          <w:tcPr>
            <w:tcW w:w="511" w:type="dxa"/>
          </w:tcPr>
          <w:p>
            <w:pPr>
              <w:pStyle w:val="TableParagraph"/>
              <w:ind w:right="25"/>
              <w:rPr>
                <w:sz w:val="20"/>
              </w:rPr>
            </w:pPr>
            <w:r>
              <w:rPr>
                <w:sz w:val="20"/>
              </w:rPr>
              <w:t>下北</w:t>
            </w:r>
          </w:p>
        </w:tc>
        <w:tc>
          <w:tcPr>
            <w:tcW w:w="1173" w:type="dxa"/>
          </w:tcPr>
          <w:p>
            <w:pPr>
              <w:pStyle w:val="TableParagraph"/>
              <w:spacing w:line="199" w:lineRule="auto" w:before="45"/>
              <w:ind w:left="295" w:right="58" w:hanging="200"/>
              <w:jc w:val="left"/>
              <w:rPr>
                <w:sz w:val="20"/>
              </w:rPr>
            </w:pPr>
            <w:r>
              <w:rPr>
                <w:sz w:val="20"/>
              </w:rPr>
              <w:t>ガソリンスタンド</w:t>
            </w:r>
          </w:p>
        </w:tc>
        <w:tc>
          <w:tcPr>
            <w:tcW w:w="7024" w:type="dxa"/>
          </w:tcPr>
          <w:p>
            <w:pPr>
              <w:pStyle w:val="TableParagraph"/>
              <w:spacing w:line="199" w:lineRule="auto" w:before="45"/>
              <w:ind w:left="36" w:right="140"/>
              <w:jc w:val="left"/>
              <w:rPr>
                <w:sz w:val="20"/>
              </w:rPr>
            </w:pPr>
            <w:r>
              <w:rPr>
                <w:sz w:val="20"/>
              </w:rPr>
              <w:t>下北の場合は、乗用車の利用が多く、道路整備が何よりも早期実現と思います。</w:t>
            </w:r>
          </w:p>
        </w:tc>
      </w:tr>
    </w:tbl>
    <w:sectPr>
      <w:pgSz w:w="11900" w:h="16840"/>
      <w:pgMar w:header="0" w:footer="765" w:top="1420" w:bottom="960" w:left="10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639893pt;width:18.6pt;height:16.8pt;mso-position-horizontal-relative:page;mso-position-vertical-relative:page;z-index:-177040"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4.279999pt;margin-top:783.119934pt;width:46.05pt;height:22.35pt;mso-position-horizontal-relative:page;mso-position-vertical-relative:page;z-index:-177016"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18</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6"/>
      <w:ind w:left="132"/>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90"/>
      <w:ind w:left="192"/>
      <w:outlineLvl w:val="2"/>
    </w:pPr>
    <w:rPr>
      <w:rFonts w:ascii="Arial Unicode MS" w:hAnsi="Arial Unicode MS" w:eastAsia="Arial Unicode MS" w:cs="Arial Unicode MS"/>
      <w:sz w:val="27"/>
      <w:szCs w:val="27"/>
    </w:rPr>
  </w:style>
  <w:style w:styleId="Heading3" w:type="paragraph">
    <w:name w:val="Heading 3"/>
    <w:basedOn w:val="Normal"/>
    <w:uiPriority w:val="1"/>
    <w:qFormat/>
    <w:pPr>
      <w:ind w:left="187"/>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307" w:lineRule="exact"/>
      <w:ind w:left="187"/>
      <w:outlineLvl w:val="4"/>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報告書(H15.07).exe</dc:title>
  <dcterms:created xsi:type="dcterms:W3CDTF">2019-02-20T04:22:11Z</dcterms:created>
  <dcterms:modified xsi:type="dcterms:W3CDTF">2019-02-20T04:22:11Z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2003-07-28T00:00:00Z</vt:filetime>
  </property>
  <property fmtid="{D5CDD505-2E9C-101B-9397-08002B2CF9AE}" pid="3" name="Creator">
    <vt:lpwstr>報告書(H15.07).exe - DocuWorks Viewer Light</vt:lpwstr>
  </property>
  <property fmtid="{D5CDD505-2E9C-101B-9397-08002B2CF9AE}" pid="4" name="LastSaved">
    <vt:filetime>2003-07-28T00:00:00Z</vt:filetime>
  </property>
</Properties>
</file>