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8"/>
        <w:rPr>
          <w:u w:val="none"/>
        </w:rPr>
      </w:pPr>
      <w:r>
        <w:rPr>
          <w:u w:val="none"/>
        </w:rPr>
        <w:t>（参考３）東日本大震災からの景気の回復程度</w:t>
      </w:r>
    </w:p>
    <w:p>
      <w:pPr>
        <w:pStyle w:val="BodyText"/>
        <w:rPr>
          <w:sz w:val="15"/>
        </w:rPr>
      </w:pPr>
    </w:p>
    <w:p>
      <w:pPr>
        <w:spacing w:before="0"/>
        <w:ind w:left="158" w:right="0" w:firstLine="0"/>
        <w:jc w:val="left"/>
        <w:rPr>
          <w:sz w:val="23"/>
        </w:rPr>
      </w:pPr>
      <w:r>
        <w:rPr>
          <w:sz w:val="23"/>
        </w:rPr>
        <w:t>１．本調査について</w:t>
      </w:r>
    </w:p>
    <w:p>
      <w:pPr>
        <w:pStyle w:val="BodyText"/>
        <w:spacing w:before="1"/>
        <w:rPr>
          <w:sz w:val="12"/>
        </w:rPr>
      </w:pPr>
    </w:p>
    <w:p>
      <w:pPr>
        <w:pStyle w:val="BodyText"/>
        <w:spacing w:line="196" w:lineRule="auto" w:before="96"/>
        <w:ind w:left="156" w:right="411" w:firstLine="211"/>
      </w:pPr>
      <w:r>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pStyle w:val="BodyText"/>
        <w:spacing w:line="256" w:lineRule="exact"/>
        <w:ind w:left="619"/>
      </w:pPr>
      <w:r>
        <w:rPr/>
        <w:pict>
          <v:shape style="position:absolute;margin-left:65.878899pt;margin-top:-3.893797pt;width:13.95pt;height:102.5pt;mso-position-horizontal-relative:page;mso-position-vertical-relative:paragraph;z-index:1024" coordorigin="1318,-78" coordsize="279,2050" path="m1596,-78l1508,-69,1432,-45,1371,-8,1332,39,1318,93,1318,1801,1332,1855,1371,1902,1432,1939,1508,1963,1596,1972e" filled="false" stroked="true" strokeweight=".7125pt" strokecolor="#000000">
            <v:path arrowok="t"/>
            <v:stroke dashstyle="solid"/>
            <w10:wrap type="none"/>
          </v:shape>
        </w:pict>
      </w:r>
      <w:r>
        <w:rPr/>
        <w:pict>
          <v:shape style="position:absolute;margin-left:508.921997pt;margin-top:-3.893797pt;width:14.55pt;height:102.5pt;mso-position-horizontal-relative:page;mso-position-vertical-relative:paragraph;z-index:1048" coordorigin="10178,-78" coordsize="291,2050" path="m10178,-78l10270,-69,10350,-45,10413,-8,10454,39,10469,93,10469,1801,10454,1855,10413,1902,10350,1939,10270,1963,10178,1972e" filled="false" stroked="true" strokeweight=".7125pt" strokecolor="#000000">
            <v:path arrowok="t"/>
            <v:stroke dashstyle="solid"/>
            <w10:wrap type="none"/>
          </v:shape>
        </w:pict>
      </w:r>
      <w:r>
        <w:rPr/>
        <w:t>調査期間</w:t>
      </w:r>
    </w:p>
    <w:p>
      <w:pPr>
        <w:pStyle w:val="BodyText"/>
        <w:tabs>
          <w:tab w:pos="4420" w:val="left" w:leader="none"/>
          <w:tab w:pos="5265" w:val="left" w:leader="none"/>
        </w:tabs>
        <w:spacing w:line="196" w:lineRule="auto" w:before="15"/>
        <w:ind w:left="619" w:right="3961" w:firstLine="211"/>
      </w:pPr>
      <w:r>
        <w:rPr/>
        <w:t>平成２３年７月１日～７月２１日</w:t>
        <w:tab/>
        <w:t>回答率</w:t>
        <w:tab/>
      </w:r>
      <w:r>
        <w:rPr>
          <w:spacing w:val="-7"/>
        </w:rPr>
        <w:t>９６％ </w:t>
      </w:r>
      <w:r>
        <w:rPr/>
        <w:t>質問項目</w:t>
      </w:r>
    </w:p>
    <w:p>
      <w:pPr>
        <w:pStyle w:val="BodyText"/>
        <w:spacing w:line="196" w:lineRule="auto"/>
        <w:ind w:left="619" w:right="2271" w:firstLine="211"/>
      </w:pPr>
      <w:r>
        <w:rPr/>
        <w:t>現在の景気は、震災前と比べて、どの程度回復していると思いますか。回答方法</w:t>
      </w:r>
    </w:p>
    <w:p>
      <w:pPr>
        <w:pStyle w:val="BodyText"/>
        <w:spacing w:line="196" w:lineRule="auto"/>
        <w:ind w:left="1041" w:right="1004"/>
      </w:pPr>
      <w:r>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pStyle w:val="Heading1"/>
        <w:spacing w:before="50"/>
        <w:rPr>
          <w:u w:val="none"/>
        </w:rPr>
      </w:pPr>
      <w:r>
        <w:rPr>
          <w:u w:val="none"/>
        </w:rPr>
        <w:t>２．結果概要</w:t>
      </w:r>
    </w:p>
    <w:p>
      <w:pPr>
        <w:pStyle w:val="BodyText"/>
        <w:spacing w:before="1"/>
        <w:rPr>
          <w:sz w:val="16"/>
        </w:rPr>
      </w:pPr>
    </w:p>
    <w:p>
      <w:pPr>
        <w:spacing w:before="0"/>
        <w:ind w:left="158" w:right="0" w:firstLine="0"/>
        <w:jc w:val="left"/>
        <w:rPr>
          <w:sz w:val="23"/>
        </w:rPr>
      </w:pPr>
      <w:r>
        <w:rPr/>
        <w:pict>
          <v:shape style="position:absolute;margin-left:56.640598pt;margin-top:13.854894pt;width:476.6pt;height:192.15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316" w:lineRule="auto" w:before="66"/>
                          <w:ind w:left="33" w:right="153" w:firstLine="211"/>
                          <w:jc w:val="both"/>
                          <w:rPr>
                            <w:sz w:val="21"/>
                          </w:rPr>
                        </w:pPr>
                        <w:r>
                          <w:rPr>
                            <w:rFonts w:ascii="Heiti SC" w:eastAsia="Heiti SC" w:hint="eastAsia"/>
                            <w:b/>
                            <w:sz w:val="21"/>
                          </w:rPr>
                          <w:t>県全体</w:t>
                        </w:r>
                        <w:r>
                          <w:rPr>
                            <w:sz w:val="21"/>
                          </w:rPr>
                          <w:t>を見ると、「震災前を上回っている」、「震災前をやや上回っている」とする回答が合わせて１５．６％、「震災前と同程度」は２７．１％、「震災前をやや下回っている」、「震災前を下回っている」とする回答が合わせて５７．３％となった。</w:t>
                        </w:r>
                      </w:p>
                      <w:p>
                        <w:pPr>
                          <w:pStyle w:val="TableParagraph"/>
                          <w:spacing w:line="316" w:lineRule="auto"/>
                          <w:ind w:left="33" w:right="150" w:firstLine="211"/>
                          <w:jc w:val="both"/>
                          <w:rPr>
                            <w:sz w:val="21"/>
                          </w:rPr>
                        </w:pPr>
                        <w:r>
                          <w:rPr>
                            <w:rFonts w:ascii="Heiti SC" w:eastAsia="Heiti SC" w:hint="eastAsia"/>
                            <w:b/>
                            <w:sz w:val="21"/>
                          </w:rPr>
                          <w:t>判断理由</w:t>
                        </w:r>
                        <w:r>
                          <w:rPr>
                            <w:sz w:val="21"/>
                          </w:rPr>
                          <w:t>としては、復興需要や代替需要がある、震災前程度のお客様が戻ってきているという声がある一方、資材の入荷の遅れがまだ続いている、電力不足が景気回復に水を差している、自粛の</w:t>
                        </w:r>
                      </w:p>
                      <w:p>
                        <w:pPr>
                          <w:pStyle w:val="TableParagraph"/>
                          <w:ind w:left="33"/>
                          <w:rPr>
                            <w:sz w:val="21"/>
                          </w:rPr>
                        </w:pPr>
                        <w:r>
                          <w:rPr>
                            <w:sz w:val="21"/>
                          </w:rPr>
                          <w:t>影響があるという声があった。</w:t>
                        </w:r>
                      </w:p>
                    </w:tc>
                  </w:tr>
                  <w:tr>
                    <w:trPr>
                      <w:trHeight w:val="736" w:hRule="atLeast"/>
                    </w:trPr>
                    <w:tc>
                      <w:tcPr>
                        <w:tcW w:w="9506" w:type="dxa"/>
                        <w:tcBorders>
                          <w:top w:val="single" w:sz="2" w:space="0" w:color="000000"/>
                          <w:bottom w:val="single" w:sz="2" w:space="0" w:color="000000"/>
                        </w:tcBorders>
                      </w:tcPr>
                      <w:p>
                        <w:pPr>
                          <w:pStyle w:val="TableParagraph"/>
                          <w:spacing w:line="281" w:lineRule="exact" w:before="73"/>
                          <w:ind w:left="244"/>
                          <w:rPr>
                            <w:sz w:val="21"/>
                          </w:rPr>
                        </w:pPr>
                        <w:r>
                          <w:rPr>
                            <w:rFonts w:ascii="Heiti SC" w:eastAsia="Heiti SC" w:hint="eastAsia"/>
                            <w:b/>
                            <w:sz w:val="21"/>
                          </w:rPr>
                          <w:t>地区別</w:t>
                        </w:r>
                        <w:r>
                          <w:rPr>
                            <w:sz w:val="21"/>
                          </w:rPr>
                          <w:t>に見ると、震災前と同程度以上の回復をしていると回答した割合が、県南地区が５５．</w:t>
                        </w:r>
                      </w:p>
                      <w:p>
                        <w:pPr>
                          <w:pStyle w:val="TableParagraph"/>
                          <w:spacing w:line="273" w:lineRule="exact"/>
                          <w:ind w:left="33"/>
                          <w:rPr>
                            <w:sz w:val="21"/>
                          </w:rPr>
                        </w:pPr>
                        <w:r>
                          <w:rPr>
                            <w:sz w:val="21"/>
                          </w:rPr>
                          <w:t>２％と最も高く、下北地区では１１．１％と最も低かった。</w:t>
                        </w:r>
                      </w:p>
                    </w:tc>
                  </w:tr>
                  <w:tr>
                    <w:trPr>
                      <w:trHeight w:val="729" w:hRule="atLeast"/>
                    </w:trPr>
                    <w:tc>
                      <w:tcPr>
                        <w:tcW w:w="9506" w:type="dxa"/>
                        <w:tcBorders>
                          <w:top w:val="single" w:sz="2" w:space="0" w:color="000000"/>
                        </w:tcBorders>
                      </w:tcPr>
                      <w:p>
                        <w:pPr>
                          <w:pStyle w:val="TableParagraph"/>
                          <w:spacing w:line="281" w:lineRule="exact" w:before="73"/>
                          <w:ind w:left="244"/>
                          <w:rPr>
                            <w:sz w:val="21"/>
                          </w:rPr>
                        </w:pPr>
                        <w:r>
                          <w:rPr>
                            <w:rFonts w:ascii="Heiti SC" w:eastAsia="Heiti SC" w:hint="eastAsia"/>
                            <w:b/>
                            <w:sz w:val="21"/>
                          </w:rPr>
                          <w:t>分野別</w:t>
                        </w:r>
                        <w:r>
                          <w:rPr>
                            <w:sz w:val="21"/>
                          </w:rPr>
                          <w:t>に見ると、震災前と同程度以上の回復をしていると回答した割合が、家計関連では４３．</w:t>
                        </w:r>
                      </w:p>
                      <w:p>
                        <w:pPr>
                          <w:pStyle w:val="TableParagraph"/>
                          <w:spacing w:line="273" w:lineRule="exact"/>
                          <w:ind w:left="33"/>
                          <w:rPr>
                            <w:sz w:val="21"/>
                          </w:rPr>
                        </w:pPr>
                        <w:r>
                          <w:rPr>
                            <w:sz w:val="21"/>
                          </w:rPr>
                          <w:t>７％、企業関連では５０％であったが、雇用関連では１４．３％と低かった。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5"/>
          <w:type w:val="continuous"/>
          <w:pgSz w:w="11900" w:h="16840"/>
          <w:pgMar w:footer="778" w:top="1600" w:bottom="960" w:left="1020" w:right="1020"/>
          <w:pgNumType w:start="29"/>
        </w:sectPr>
      </w:pPr>
    </w:p>
    <w:p>
      <w:pPr>
        <w:spacing w:before="35"/>
        <w:ind w:left="163" w:right="0" w:firstLine="0"/>
        <w:jc w:val="left"/>
        <w:rPr>
          <w:sz w:val="23"/>
        </w:rPr>
      </w:pPr>
      <w:r>
        <w:rPr>
          <w:w w:val="105"/>
          <w:sz w:val="23"/>
        </w:rPr>
        <w:t>３．統計表</w:t>
      </w:r>
    </w:p>
    <w:p>
      <w:pPr>
        <w:pStyle w:val="BodyText"/>
        <w:spacing w:before="10"/>
        <w:rPr>
          <w:sz w:val="16"/>
        </w:rPr>
      </w:pPr>
    </w:p>
    <w:p>
      <w:pPr>
        <w:spacing w:after="0"/>
        <w:rPr>
          <w:sz w:val="16"/>
        </w:rPr>
        <w:sectPr>
          <w:footerReference w:type="default" r:id="rId6"/>
          <w:pgSz w:w="11900" w:h="16840"/>
          <w:pgMar w:footer="793" w:header="0" w:top="1420" w:bottom="980" w:left="1020" w:right="1020"/>
          <w:pgNumType w:start="30"/>
        </w:sectPr>
      </w:pPr>
    </w:p>
    <w:p>
      <w:pPr>
        <w:tabs>
          <w:tab w:pos="1363" w:val="left" w:leader="none"/>
        </w:tabs>
        <w:spacing w:before="58"/>
        <w:ind w:left="643" w:right="0" w:firstLine="0"/>
        <w:jc w:val="left"/>
        <w:rPr>
          <w:sz w:val="23"/>
        </w:rPr>
      </w:pPr>
      <w:r>
        <w:rPr>
          <w:w w:val="105"/>
          <w:sz w:val="23"/>
          <w:u w:val="single"/>
        </w:rPr>
        <w:t>表１</w:t>
        <w:tab/>
      </w:r>
      <w:r>
        <w:rPr>
          <w:sz w:val="23"/>
          <w:u w:val="single"/>
        </w:rPr>
        <w:t>東日本大震災からの景気の回復程度</w:t>
      </w:r>
    </w:p>
    <w:p>
      <w:pPr>
        <w:pStyle w:val="BodyText"/>
        <w:spacing w:before="9"/>
        <w:rPr>
          <w:sz w:val="29"/>
        </w:rPr>
      </w:pPr>
      <w:r>
        <w:rPr/>
        <w:br w:type="column"/>
      </w:r>
      <w:r>
        <w:rPr>
          <w:sz w:val="29"/>
        </w:rPr>
      </w:r>
    </w:p>
    <w:p>
      <w:pPr>
        <w:spacing w:before="0"/>
        <w:ind w:left="643" w:right="0" w:firstLine="0"/>
        <w:jc w:val="left"/>
        <w:rPr>
          <w:sz w:val="20"/>
        </w:rPr>
      </w:pPr>
      <w:r>
        <w:rPr>
          <w:w w:val="75"/>
          <w:sz w:val="20"/>
        </w:rPr>
        <w:t>（％）</w:t>
      </w:r>
    </w:p>
    <w:p>
      <w:pPr>
        <w:spacing w:after="0"/>
        <w:jc w:val="left"/>
        <w:rPr>
          <w:sz w:val="20"/>
        </w:rPr>
        <w:sectPr>
          <w:type w:val="continuous"/>
          <w:pgSz w:w="11900" w:h="16840"/>
          <w:pgMar w:top="1600" w:bottom="960" w:left="1020" w:right="1020"/>
          <w:cols w:num="2" w:equalWidth="0">
            <w:col w:w="5241" w:space="3324"/>
            <w:col w:w="1295"/>
          </w:cols>
        </w:sectPr>
      </w:pPr>
    </w:p>
    <w:p>
      <w:pPr>
        <w:pStyle w:val="BodyText"/>
        <w:rPr>
          <w:sz w:val="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96</w:t>
            </w:r>
          </w:p>
        </w:tc>
        <w:tc>
          <w:tcPr>
            <w:tcW w:w="1725" w:type="dxa"/>
            <w:shd w:val="clear" w:color="auto" w:fill="CCFFCC"/>
          </w:tcPr>
          <w:p>
            <w:pPr>
              <w:pStyle w:val="TableParagraph"/>
              <w:spacing w:line="202" w:lineRule="exact" w:before="8"/>
              <w:ind w:left="374" w:right="338" w:firstLine="151"/>
              <w:rPr>
                <w:rFonts w:ascii="Apple SD Gothic Neo" w:eastAsia="Apple SD Gothic Neo" w:hint="eastAsia"/>
                <w:b/>
                <w:sz w:val="17"/>
              </w:rPr>
            </w:pPr>
            <w:r>
              <w:rPr>
                <w:rFonts w:ascii="Apple SD Gothic Neo" w:eastAsia="Apple SD Gothic Neo" w:hint="eastAsia"/>
                <w:b/>
                <w:w w:val="115"/>
                <w:sz w:val="17"/>
              </w:rPr>
              <w:t>震 災 前 を </w:t>
            </w:r>
            <w:r>
              <w:rPr>
                <w:rFonts w:ascii="Apple SD Gothic Neo" w:eastAsia="Apple SD Gothic Neo" w:hint="eastAsia"/>
                <w:b/>
                <w:w w:val="110"/>
                <w:sz w:val="17"/>
              </w:rPr>
              <w:t>上回っている</w:t>
            </w:r>
          </w:p>
        </w:tc>
        <w:tc>
          <w:tcPr>
            <w:tcW w:w="1545" w:type="dxa"/>
            <w:shd w:val="clear" w:color="auto" w:fill="CCFFCC"/>
          </w:tcPr>
          <w:p>
            <w:pPr>
              <w:pStyle w:val="TableParagraph"/>
              <w:spacing w:line="198" w:lineRule="exact"/>
              <w:ind w:left="82" w:right="46"/>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1" w:lineRule="exact"/>
              <w:ind w:left="81" w:right="49"/>
              <w:jc w:val="center"/>
              <w:rPr>
                <w:rFonts w:ascii="Apple SD Gothic Neo" w:eastAsia="Apple SD Gothic Neo" w:hint="eastAsia"/>
                <w:b/>
                <w:sz w:val="17"/>
              </w:rPr>
            </w:pPr>
            <w:r>
              <w:rPr>
                <w:rFonts w:ascii="Apple SD Gothic Neo" w:eastAsia="Apple SD Gothic Neo" w:hint="eastAsia"/>
                <w:b/>
                <w:w w:val="115"/>
                <w:sz w:val="17"/>
              </w:rPr>
              <w:t>やや上回っている</w:t>
            </w:r>
          </w:p>
        </w:tc>
        <w:tc>
          <w:tcPr>
            <w:tcW w:w="1545" w:type="dxa"/>
            <w:shd w:val="clear" w:color="auto" w:fill="CCFFCC"/>
          </w:tcPr>
          <w:p>
            <w:pPr>
              <w:pStyle w:val="TableParagraph"/>
              <w:spacing w:before="75"/>
              <w:ind w:right="139"/>
              <w:jc w:val="right"/>
              <w:rPr>
                <w:rFonts w:ascii="Apple SD Gothic Neo" w:eastAsia="Apple SD Gothic Neo" w:hint="eastAsia"/>
                <w:b/>
                <w:sz w:val="17"/>
              </w:rPr>
            </w:pPr>
            <w:r>
              <w:rPr>
                <w:rFonts w:ascii="Apple SD Gothic Neo" w:eastAsia="Apple SD Gothic Neo" w:hint="eastAsia"/>
                <w:b/>
                <w:w w:val="115"/>
                <w:sz w:val="17"/>
              </w:rPr>
              <w:t>震災前</w:t>
            </w:r>
            <w:r>
              <w:rPr>
                <w:rFonts w:ascii="Apple SD Gothic Neo" w:eastAsia="Apple SD Gothic Neo" w:hint="eastAsia"/>
                <w:b/>
                <w:w w:val="105"/>
                <w:sz w:val="17"/>
              </w:rPr>
              <w:t>と</w:t>
            </w:r>
            <w:r>
              <w:rPr>
                <w:rFonts w:ascii="Apple SD Gothic Neo" w:eastAsia="Apple SD Gothic Neo" w:hint="eastAsia"/>
                <w:b/>
                <w:w w:val="115"/>
                <w:sz w:val="17"/>
              </w:rPr>
              <w:t>同程度</w:t>
            </w:r>
          </w:p>
        </w:tc>
        <w:tc>
          <w:tcPr>
            <w:tcW w:w="1545" w:type="dxa"/>
            <w:shd w:val="clear" w:color="auto" w:fill="CCFFCC"/>
          </w:tcPr>
          <w:p>
            <w:pPr>
              <w:pStyle w:val="TableParagraph"/>
              <w:spacing w:line="198" w:lineRule="exact"/>
              <w:ind w:left="82" w:right="44"/>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1" w:lineRule="exact"/>
              <w:ind w:left="82" w:right="48"/>
              <w:jc w:val="center"/>
              <w:rPr>
                <w:rFonts w:ascii="Apple SD Gothic Neo" w:eastAsia="Apple SD Gothic Neo" w:hint="eastAsia"/>
                <w:b/>
                <w:sz w:val="17"/>
              </w:rPr>
            </w:pPr>
            <w:r>
              <w:rPr>
                <w:rFonts w:ascii="Apple SD Gothic Neo" w:eastAsia="Apple SD Gothic Neo" w:hint="eastAsia"/>
                <w:b/>
                <w:w w:val="115"/>
                <w:sz w:val="17"/>
              </w:rPr>
              <w:t>やや下回っている</w:t>
            </w:r>
          </w:p>
        </w:tc>
        <w:tc>
          <w:tcPr>
            <w:tcW w:w="1545" w:type="dxa"/>
            <w:shd w:val="clear" w:color="auto" w:fill="CCFFCC"/>
          </w:tcPr>
          <w:p>
            <w:pPr>
              <w:pStyle w:val="TableParagraph"/>
              <w:spacing w:line="202" w:lineRule="exact" w:before="8"/>
              <w:ind w:left="285" w:right="247" w:firstLine="151"/>
              <w:rPr>
                <w:rFonts w:ascii="Apple SD Gothic Neo" w:eastAsia="Apple SD Gothic Neo" w:hint="eastAsia"/>
                <w:b/>
                <w:sz w:val="17"/>
              </w:rPr>
            </w:pPr>
            <w:r>
              <w:rPr>
                <w:rFonts w:ascii="Apple SD Gothic Neo" w:eastAsia="Apple SD Gothic Neo" w:hint="eastAsia"/>
                <w:b/>
                <w:w w:val="115"/>
                <w:sz w:val="17"/>
              </w:rPr>
              <w:t>震 災 前 を </w:t>
            </w:r>
            <w:r>
              <w:rPr>
                <w:rFonts w:ascii="Apple SD Gothic Neo" w:eastAsia="Apple SD Gothic Neo" w:hint="eastAsia"/>
                <w:b/>
                <w:w w:val="110"/>
                <w:sz w:val="17"/>
              </w:rPr>
              <w:t>下回っている</w:t>
            </w:r>
          </w:p>
        </w:tc>
      </w:tr>
      <w:tr>
        <w:trPr>
          <w:trHeight w:val="338" w:hRule="atLeast"/>
        </w:trPr>
        <w:tc>
          <w:tcPr>
            <w:tcW w:w="1615" w:type="dxa"/>
            <w:shd w:val="clear" w:color="auto" w:fill="CCFFCC"/>
          </w:tcPr>
          <w:p>
            <w:pPr>
              <w:pStyle w:val="TableParagraph"/>
              <w:spacing w:before="8"/>
              <w:ind w:left="95"/>
              <w:rPr>
                <w:sz w:val="23"/>
              </w:rPr>
            </w:pPr>
            <w:r>
              <w:rPr>
                <w:sz w:val="23"/>
              </w:rPr>
              <w:t>平成23年 7月</w:t>
            </w:r>
          </w:p>
        </w:tc>
        <w:tc>
          <w:tcPr>
            <w:tcW w:w="1725" w:type="dxa"/>
          </w:tcPr>
          <w:p>
            <w:pPr>
              <w:pStyle w:val="TableParagraph"/>
              <w:spacing w:line="259" w:lineRule="exact" w:before="58"/>
              <w:ind w:right="141"/>
              <w:jc w:val="right"/>
              <w:rPr>
                <w:sz w:val="23"/>
              </w:rPr>
            </w:pPr>
            <w:r>
              <w:rPr>
                <w:w w:val="92"/>
                <w:sz w:val="23"/>
              </w:rPr>
              <w:t>3</w:t>
            </w:r>
            <w:r>
              <w:rPr>
                <w:w w:val="185"/>
                <w:sz w:val="23"/>
              </w:rPr>
              <w:t>.</w:t>
            </w:r>
            <w:r>
              <w:rPr>
                <w:w w:val="92"/>
                <w:sz w:val="23"/>
              </w:rPr>
              <w:t>1</w:t>
            </w:r>
          </w:p>
        </w:tc>
        <w:tc>
          <w:tcPr>
            <w:tcW w:w="1545" w:type="dxa"/>
          </w:tcPr>
          <w:p>
            <w:pPr>
              <w:pStyle w:val="TableParagraph"/>
              <w:spacing w:line="259" w:lineRule="exact" w:before="58"/>
              <w:ind w:left="905"/>
              <w:rPr>
                <w:sz w:val="23"/>
              </w:rPr>
            </w:pPr>
            <w:r>
              <w:rPr>
                <w:w w:val="92"/>
                <w:sz w:val="23"/>
              </w:rPr>
              <w:t>12</w:t>
            </w:r>
            <w:r>
              <w:rPr>
                <w:w w:val="185"/>
                <w:sz w:val="23"/>
              </w:rPr>
              <w:t>.</w:t>
            </w:r>
            <w:r>
              <w:rPr>
                <w:w w:val="92"/>
                <w:sz w:val="23"/>
              </w:rPr>
              <w:t>5</w:t>
            </w:r>
          </w:p>
        </w:tc>
        <w:tc>
          <w:tcPr>
            <w:tcW w:w="1545" w:type="dxa"/>
          </w:tcPr>
          <w:p>
            <w:pPr>
              <w:pStyle w:val="TableParagraph"/>
              <w:spacing w:line="259" w:lineRule="exact" w:before="58"/>
              <w:ind w:right="141"/>
              <w:jc w:val="right"/>
              <w:rPr>
                <w:sz w:val="23"/>
              </w:rPr>
            </w:pPr>
            <w:r>
              <w:rPr>
                <w:w w:val="92"/>
                <w:sz w:val="23"/>
              </w:rPr>
              <w:t>27</w:t>
            </w:r>
            <w:r>
              <w:rPr>
                <w:w w:val="185"/>
                <w:sz w:val="23"/>
              </w:rPr>
              <w:t>.</w:t>
            </w:r>
            <w:r>
              <w:rPr>
                <w:w w:val="92"/>
                <w:sz w:val="23"/>
              </w:rPr>
              <w:t>1</w:t>
            </w:r>
          </w:p>
        </w:tc>
        <w:tc>
          <w:tcPr>
            <w:tcW w:w="1545" w:type="dxa"/>
          </w:tcPr>
          <w:p>
            <w:pPr>
              <w:pStyle w:val="TableParagraph"/>
              <w:spacing w:line="259" w:lineRule="exact" w:before="58"/>
              <w:ind w:left="906"/>
              <w:rPr>
                <w:sz w:val="23"/>
              </w:rPr>
            </w:pPr>
            <w:r>
              <w:rPr>
                <w:w w:val="92"/>
                <w:sz w:val="23"/>
              </w:rPr>
              <w:t>33</w:t>
            </w:r>
            <w:r>
              <w:rPr>
                <w:w w:val="185"/>
                <w:sz w:val="23"/>
              </w:rPr>
              <w:t>.</w:t>
            </w:r>
            <w:r>
              <w:rPr>
                <w:w w:val="92"/>
                <w:sz w:val="23"/>
              </w:rPr>
              <w:t>3</w:t>
            </w:r>
          </w:p>
        </w:tc>
        <w:tc>
          <w:tcPr>
            <w:tcW w:w="1545" w:type="dxa"/>
          </w:tcPr>
          <w:p>
            <w:pPr>
              <w:pStyle w:val="TableParagraph"/>
              <w:spacing w:line="259" w:lineRule="exact" w:before="58"/>
              <w:ind w:left="906"/>
              <w:rPr>
                <w:sz w:val="23"/>
              </w:rPr>
            </w:pPr>
            <w:r>
              <w:rPr>
                <w:w w:val="92"/>
                <w:sz w:val="23"/>
              </w:rPr>
              <w:t>24</w:t>
            </w:r>
            <w:r>
              <w:rPr>
                <w:w w:val="185"/>
                <w:sz w:val="23"/>
              </w:rPr>
              <w:t>.</w:t>
            </w:r>
            <w:r>
              <w:rPr>
                <w:w w:val="92"/>
                <w:sz w:val="23"/>
              </w:rPr>
              <w:t>0</w:t>
            </w:r>
          </w:p>
        </w:tc>
      </w:tr>
    </w:tbl>
    <w:p>
      <w:pPr>
        <w:pStyle w:val="BodyText"/>
        <w:spacing w:before="7"/>
        <w:rPr>
          <w:sz w:val="14"/>
        </w:rPr>
      </w:pPr>
      <w:r>
        <w:rPr/>
        <w:pict>
          <v:group style="position:absolute;margin-left:138.061005pt;margin-top:11.745093pt;width:331.35pt;height:213.5pt;mso-position-horizontal-relative:page;mso-position-vertical-relative:paragraph;z-index:-832;mso-wrap-distance-left:0;mso-wrap-distance-right:0" coordorigin="2761,235" coordsize="6627,4270">
            <v:rect style="position:absolute;left:2762;top:236;width:6624;height:4268" filled="false" stroked="true" strokeweight=".12pt" strokecolor="#7f7f7f">
              <v:stroke dashstyle="solid"/>
            </v:rect>
            <v:shape style="position:absolute;left:4621;top:928;width:3756;height:3097" type="#_x0000_t75" stroked="false">
              <v:imagedata r:id="rId7" o:title=""/>
            </v:shape>
            <v:rect style="position:absolute;left:2762;top:236;width:6624;height:4268" filled="false" stroked="true" strokeweight=".12pt" strokecolor="#7f7f7f">
              <v:stroke dashstyle="solid"/>
            </v:rect>
            <v:shape style="position:absolute;left:4070;top:3842;width:1158;height:646" type="#_x0000_t202" filled="false" stroked="false">
              <v:textbox inset="0,0,0,0">
                <w:txbxContent>
                  <w:p>
                    <w:pPr>
                      <w:spacing w:line="199" w:lineRule="auto" w:before="0"/>
                      <w:ind w:left="0" w:right="18" w:firstLine="184"/>
                      <w:jc w:val="left"/>
                      <w:rPr>
                        <w:sz w:val="20"/>
                      </w:rPr>
                    </w:pPr>
                    <w:r>
                      <w:rPr>
                        <w:sz w:val="20"/>
                      </w:rPr>
                      <w:t>震災前を</w:t>
                    </w:r>
                    <w:r>
                      <w:rPr>
                        <w:w w:val="95"/>
                        <w:sz w:val="20"/>
                      </w:rPr>
                      <w:t>やや下回って</w:t>
                    </w:r>
                  </w:p>
                  <w:p>
                    <w:pPr>
                      <w:spacing w:line="207" w:lineRule="exact" w:before="0"/>
                      <w:ind w:left="350" w:right="368" w:firstLine="0"/>
                      <w:jc w:val="center"/>
                      <w:rPr>
                        <w:sz w:val="20"/>
                      </w:rPr>
                    </w:pPr>
                    <w:r>
                      <w:rPr>
                        <w:sz w:val="20"/>
                      </w:rPr>
                      <w:t>いる</w:t>
                    </w:r>
                  </w:p>
                </w:txbxContent>
              </v:textbox>
              <w10:wrap type="none"/>
            </v:shape>
            <v:shape style="position:absolute;left:7516;top:1773;width:1448;height:1654" type="#_x0000_t202" filled="false" stroked="false">
              <v:textbox inset="0,0,0,0">
                <w:txbxContent>
                  <w:p>
                    <w:pPr>
                      <w:spacing w:line="199" w:lineRule="auto" w:before="0"/>
                      <w:ind w:left="290" w:right="18" w:firstLine="184"/>
                      <w:jc w:val="left"/>
                      <w:rPr>
                        <w:sz w:val="20"/>
                      </w:rPr>
                    </w:pPr>
                    <w:r>
                      <w:rPr>
                        <w:sz w:val="20"/>
                      </w:rPr>
                      <w:t>震災前を</w:t>
                    </w:r>
                    <w:r>
                      <w:rPr>
                        <w:w w:val="95"/>
                        <w:sz w:val="20"/>
                      </w:rPr>
                      <w:t>やや上回って</w:t>
                    </w:r>
                  </w:p>
                  <w:p>
                    <w:pPr>
                      <w:spacing w:line="199" w:lineRule="auto" w:before="0"/>
                      <w:ind w:left="638" w:right="368" w:firstLine="40"/>
                      <w:jc w:val="left"/>
                      <w:rPr>
                        <w:sz w:val="20"/>
                      </w:rPr>
                    </w:pPr>
                    <w:r>
                      <w:rPr>
                        <w:w w:val="95"/>
                        <w:sz w:val="20"/>
                      </w:rPr>
                      <w:t>いる</w:t>
                    </w:r>
                    <w:r>
                      <w:rPr>
                        <w:w w:val="75"/>
                        <w:sz w:val="20"/>
                      </w:rPr>
                      <w:t>12.5%</w:t>
                    </w:r>
                  </w:p>
                  <w:p>
                    <w:pPr>
                      <w:spacing w:line="228" w:lineRule="auto" w:before="26"/>
                      <w:ind w:left="-1" w:right="695" w:firstLine="0"/>
                      <w:jc w:val="center"/>
                      <w:rPr>
                        <w:rFonts w:ascii="Arial" w:eastAsia="Arial"/>
                        <w:sz w:val="20"/>
                      </w:rPr>
                    </w:pPr>
                    <w:r>
                      <w:rPr>
                        <w:spacing w:val="-4"/>
                        <w:w w:val="90"/>
                        <w:sz w:val="20"/>
                      </w:rPr>
                      <w:t>震災前と</w:t>
                    </w:r>
                    <w:r>
                      <w:rPr>
                        <w:sz w:val="20"/>
                      </w:rPr>
                      <w:t>同程度</w:t>
                    </w:r>
                    <w:r>
                      <w:rPr>
                        <w:rFonts w:ascii="Arial" w:eastAsia="Arial"/>
                        <w:sz w:val="20"/>
                      </w:rPr>
                      <w:t>27.1%</w:t>
                    </w:r>
                  </w:p>
                </w:txbxContent>
              </v:textbox>
              <w10:wrap type="none"/>
            </v:shape>
            <v:shape style="position:absolute;left:7785;top:600;width:1119;height:646" type="#_x0000_t202" filled="false" stroked="false">
              <v:textbox inset="0,0,0,0">
                <w:txbxContent>
                  <w:p>
                    <w:pPr>
                      <w:spacing w:line="199" w:lineRule="auto" w:before="0"/>
                      <w:ind w:left="0" w:right="18" w:firstLine="165"/>
                      <w:jc w:val="left"/>
                      <w:rPr>
                        <w:sz w:val="20"/>
                      </w:rPr>
                    </w:pPr>
                    <w:r>
                      <w:rPr>
                        <w:sz w:val="20"/>
                      </w:rPr>
                      <w:t>震災前を</w:t>
                    </w:r>
                    <w:r>
                      <w:rPr>
                        <w:w w:val="90"/>
                        <w:sz w:val="20"/>
                      </w:rPr>
                      <w:t>上回っている</w:t>
                    </w:r>
                  </w:p>
                  <w:p>
                    <w:pPr>
                      <w:spacing w:line="207" w:lineRule="exact" w:before="0"/>
                      <w:ind w:left="336" w:right="354" w:firstLine="0"/>
                      <w:jc w:val="center"/>
                      <w:rPr>
                        <w:sz w:val="20"/>
                      </w:rPr>
                    </w:pPr>
                    <w:r>
                      <w:rPr>
                        <w:w w:val="85"/>
                        <w:sz w:val="20"/>
                      </w:rPr>
                      <w:t>3.1%</w:t>
                    </w:r>
                  </w:p>
                </w:txbxContent>
              </v:textbox>
              <w10:wrap type="none"/>
            </v:shape>
            <v:shape style="position:absolute;left:3926;top:808;width:1119;height:646" type="#_x0000_t202" filled="false" stroked="false">
              <v:textbox inset="0,0,0,0">
                <w:txbxContent>
                  <w:p>
                    <w:pPr>
                      <w:spacing w:line="199" w:lineRule="auto" w:before="0"/>
                      <w:ind w:left="0" w:right="18" w:firstLine="165"/>
                      <w:jc w:val="left"/>
                      <w:rPr>
                        <w:sz w:val="20"/>
                      </w:rPr>
                    </w:pPr>
                    <w:r>
                      <w:rPr>
                        <w:sz w:val="20"/>
                      </w:rPr>
                      <w:t>震災前を</w:t>
                    </w:r>
                    <w:r>
                      <w:rPr>
                        <w:w w:val="90"/>
                        <w:sz w:val="20"/>
                      </w:rPr>
                      <w:t>下回っている</w:t>
                    </w:r>
                  </w:p>
                  <w:p>
                    <w:pPr>
                      <w:spacing w:line="207" w:lineRule="exact" w:before="0"/>
                      <w:ind w:left="328" w:right="0" w:firstLine="0"/>
                      <w:jc w:val="left"/>
                      <w:rPr>
                        <w:sz w:val="20"/>
                      </w:rPr>
                    </w:pPr>
                    <w:r>
                      <w:rPr>
                        <w:w w:val="85"/>
                        <w:sz w:val="20"/>
                      </w:rPr>
                      <w:t>24.0%</w:t>
                    </w:r>
                  </w:p>
                </w:txbxContent>
              </v:textbox>
              <w10:wrap type="none"/>
            </v:shape>
            <v:shape style="position:absolute;left:5580;top:394;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県全体</w:t>
                    </w:r>
                    <w:r>
                      <w:rPr>
                        <w:rFonts w:ascii="Heiti SC" w:eastAsia="Heiti SC" w:hint="eastAsia"/>
                        <w:b/>
                        <w:w w:val="80"/>
                        <w:sz w:val="23"/>
                      </w:rPr>
                      <w:t>）</w:t>
                    </w:r>
                  </w:p>
                </w:txbxContent>
              </v:textbox>
              <w10:wrap type="none"/>
            </v:shape>
            <w10:wrap type="topAndBottom"/>
          </v:group>
        </w:pict>
      </w:r>
    </w:p>
    <w:p>
      <w:pPr>
        <w:pStyle w:val="BodyText"/>
        <w:spacing w:before="3"/>
        <w:rPr>
          <w:sz w:val="22"/>
        </w:rPr>
      </w:pPr>
    </w:p>
    <w:p>
      <w:pPr>
        <w:spacing w:after="0"/>
        <w:rPr>
          <w:sz w:val="22"/>
        </w:rPr>
        <w:sectPr>
          <w:type w:val="continuous"/>
          <w:pgSz w:w="11900" w:h="16840"/>
          <w:pgMar w:top="1600" w:bottom="960" w:left="1020" w:right="1020"/>
        </w:sectPr>
      </w:pPr>
    </w:p>
    <w:p>
      <w:pPr>
        <w:pStyle w:val="Heading1"/>
        <w:tabs>
          <w:tab w:pos="1363" w:val="left" w:leader="none"/>
        </w:tabs>
        <w:spacing w:before="59"/>
        <w:ind w:left="643"/>
        <w:rPr>
          <w:u w:val="none"/>
        </w:rPr>
      </w:pPr>
      <w:r>
        <w:rPr>
          <w:w w:val="105"/>
          <w:u w:val="single"/>
        </w:rPr>
        <w:t>表２</w:t>
        <w:tab/>
      </w:r>
      <w:r>
        <w:rPr>
          <w:u w:val="single"/>
        </w:rPr>
        <w:t>東日本大震災からの景気の回復程度（地区別）</w:t>
      </w:r>
    </w:p>
    <w:p>
      <w:pPr>
        <w:pStyle w:val="BodyText"/>
        <w:spacing w:before="9"/>
        <w:rPr>
          <w:sz w:val="29"/>
        </w:rPr>
      </w:pPr>
      <w:r>
        <w:rPr/>
        <w:br w:type="column"/>
      </w:r>
      <w:r>
        <w:rPr>
          <w:sz w:val="29"/>
        </w:rPr>
      </w:r>
    </w:p>
    <w:p>
      <w:pPr>
        <w:spacing w:before="0"/>
        <w:ind w:left="643" w:right="0" w:firstLine="0"/>
        <w:jc w:val="left"/>
        <w:rPr>
          <w:sz w:val="20"/>
        </w:rPr>
      </w:pPr>
      <w:r>
        <w:rPr>
          <w:w w:val="75"/>
          <w:sz w:val="20"/>
        </w:rPr>
        <w:t>（％）</w:t>
      </w:r>
    </w:p>
    <w:p>
      <w:pPr>
        <w:spacing w:after="0"/>
        <w:jc w:val="left"/>
        <w:rPr>
          <w:sz w:val="20"/>
        </w:rPr>
        <w:sectPr>
          <w:type w:val="continuous"/>
          <w:pgSz w:w="11900" w:h="16840"/>
          <w:pgMar w:top="1600" w:bottom="960" w:left="1020" w:right="1020"/>
          <w:cols w:num="2" w:equalWidth="0">
            <w:col w:w="6441" w:space="2124"/>
            <w:col w:w="1295"/>
          </w:cols>
        </w:sectPr>
      </w:pPr>
    </w:p>
    <w:p>
      <w:pPr>
        <w:pStyle w:val="BodyText"/>
        <w:rPr>
          <w:sz w:val="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96</w:t>
            </w:r>
          </w:p>
        </w:tc>
        <w:tc>
          <w:tcPr>
            <w:tcW w:w="1725" w:type="dxa"/>
            <w:shd w:val="clear" w:color="auto" w:fill="CCFFCC"/>
          </w:tcPr>
          <w:p>
            <w:pPr>
              <w:pStyle w:val="TableParagraph"/>
              <w:spacing w:line="202" w:lineRule="exact" w:before="8"/>
              <w:ind w:left="374" w:right="338" w:firstLine="151"/>
              <w:rPr>
                <w:rFonts w:ascii="Apple SD Gothic Neo" w:eastAsia="Apple SD Gothic Neo" w:hint="eastAsia"/>
                <w:b/>
                <w:sz w:val="17"/>
              </w:rPr>
            </w:pPr>
            <w:r>
              <w:rPr>
                <w:rFonts w:ascii="Apple SD Gothic Neo" w:eastAsia="Apple SD Gothic Neo" w:hint="eastAsia"/>
                <w:b/>
                <w:w w:val="115"/>
                <w:sz w:val="17"/>
              </w:rPr>
              <w:t>震 災 前 を </w:t>
            </w:r>
            <w:r>
              <w:rPr>
                <w:rFonts w:ascii="Apple SD Gothic Neo" w:eastAsia="Apple SD Gothic Neo" w:hint="eastAsia"/>
                <w:b/>
                <w:w w:val="110"/>
                <w:sz w:val="17"/>
              </w:rPr>
              <w:t>上回っている</w:t>
            </w:r>
          </w:p>
        </w:tc>
        <w:tc>
          <w:tcPr>
            <w:tcW w:w="1545" w:type="dxa"/>
            <w:shd w:val="clear" w:color="auto" w:fill="CCFFCC"/>
          </w:tcPr>
          <w:p>
            <w:pPr>
              <w:pStyle w:val="TableParagraph"/>
              <w:spacing w:line="198" w:lineRule="exact"/>
              <w:ind w:left="82" w:right="46"/>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1" w:lineRule="exact"/>
              <w:ind w:left="81" w:right="49"/>
              <w:jc w:val="center"/>
              <w:rPr>
                <w:rFonts w:ascii="Apple SD Gothic Neo" w:eastAsia="Apple SD Gothic Neo" w:hint="eastAsia"/>
                <w:b/>
                <w:sz w:val="17"/>
              </w:rPr>
            </w:pPr>
            <w:r>
              <w:rPr>
                <w:rFonts w:ascii="Apple SD Gothic Neo" w:eastAsia="Apple SD Gothic Neo" w:hint="eastAsia"/>
                <w:b/>
                <w:w w:val="115"/>
                <w:sz w:val="17"/>
              </w:rPr>
              <w:t>やや上回っている</w:t>
            </w:r>
          </w:p>
        </w:tc>
        <w:tc>
          <w:tcPr>
            <w:tcW w:w="1545" w:type="dxa"/>
            <w:shd w:val="clear" w:color="auto" w:fill="CCFFCC"/>
          </w:tcPr>
          <w:p>
            <w:pPr>
              <w:pStyle w:val="TableParagraph"/>
              <w:spacing w:before="74"/>
              <w:ind w:right="139"/>
              <w:jc w:val="right"/>
              <w:rPr>
                <w:rFonts w:ascii="Apple SD Gothic Neo" w:eastAsia="Apple SD Gothic Neo" w:hint="eastAsia"/>
                <w:b/>
                <w:sz w:val="17"/>
              </w:rPr>
            </w:pPr>
            <w:r>
              <w:rPr>
                <w:rFonts w:ascii="Apple SD Gothic Neo" w:eastAsia="Apple SD Gothic Neo" w:hint="eastAsia"/>
                <w:b/>
                <w:w w:val="115"/>
                <w:sz w:val="17"/>
              </w:rPr>
              <w:t>震災前</w:t>
            </w:r>
            <w:r>
              <w:rPr>
                <w:rFonts w:ascii="Apple SD Gothic Neo" w:eastAsia="Apple SD Gothic Neo" w:hint="eastAsia"/>
                <w:b/>
                <w:w w:val="105"/>
                <w:sz w:val="17"/>
              </w:rPr>
              <w:t>と</w:t>
            </w:r>
            <w:r>
              <w:rPr>
                <w:rFonts w:ascii="Apple SD Gothic Neo" w:eastAsia="Apple SD Gothic Neo" w:hint="eastAsia"/>
                <w:b/>
                <w:w w:val="115"/>
                <w:sz w:val="17"/>
              </w:rPr>
              <w:t>同程度</w:t>
            </w:r>
          </w:p>
        </w:tc>
        <w:tc>
          <w:tcPr>
            <w:tcW w:w="1545" w:type="dxa"/>
            <w:shd w:val="clear" w:color="auto" w:fill="CCFFCC"/>
          </w:tcPr>
          <w:p>
            <w:pPr>
              <w:pStyle w:val="TableParagraph"/>
              <w:spacing w:line="198" w:lineRule="exact"/>
              <w:ind w:left="82" w:right="44"/>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1" w:lineRule="exact"/>
              <w:ind w:left="82" w:right="48"/>
              <w:jc w:val="center"/>
              <w:rPr>
                <w:rFonts w:ascii="Apple SD Gothic Neo" w:eastAsia="Apple SD Gothic Neo" w:hint="eastAsia"/>
                <w:b/>
                <w:sz w:val="17"/>
              </w:rPr>
            </w:pPr>
            <w:r>
              <w:rPr>
                <w:rFonts w:ascii="Apple SD Gothic Neo" w:eastAsia="Apple SD Gothic Neo" w:hint="eastAsia"/>
                <w:b/>
                <w:w w:val="115"/>
                <w:sz w:val="17"/>
              </w:rPr>
              <w:t>やや下回っている</w:t>
            </w:r>
          </w:p>
        </w:tc>
        <w:tc>
          <w:tcPr>
            <w:tcW w:w="1545" w:type="dxa"/>
            <w:shd w:val="clear" w:color="auto" w:fill="CCFFCC"/>
          </w:tcPr>
          <w:p>
            <w:pPr>
              <w:pStyle w:val="TableParagraph"/>
              <w:spacing w:line="202" w:lineRule="exact" w:before="8"/>
              <w:ind w:left="285" w:right="247" w:firstLine="151"/>
              <w:rPr>
                <w:rFonts w:ascii="Apple SD Gothic Neo" w:eastAsia="Apple SD Gothic Neo" w:hint="eastAsia"/>
                <w:b/>
                <w:sz w:val="17"/>
              </w:rPr>
            </w:pPr>
            <w:r>
              <w:rPr>
                <w:rFonts w:ascii="Apple SD Gothic Neo" w:eastAsia="Apple SD Gothic Neo" w:hint="eastAsia"/>
                <w:b/>
                <w:w w:val="115"/>
                <w:sz w:val="17"/>
              </w:rPr>
              <w:t>震 災 前 を </w:t>
            </w:r>
            <w:r>
              <w:rPr>
                <w:rFonts w:ascii="Apple SD Gothic Neo" w:eastAsia="Apple SD Gothic Neo" w:hint="eastAsia"/>
                <w:b/>
                <w:w w:val="110"/>
                <w:sz w:val="17"/>
              </w:rPr>
              <w:t>下回っている</w:t>
            </w:r>
          </w:p>
        </w:tc>
      </w:tr>
      <w:tr>
        <w:trPr>
          <w:trHeight w:val="246" w:hRule="atLeast"/>
        </w:trPr>
        <w:tc>
          <w:tcPr>
            <w:tcW w:w="1615" w:type="dxa"/>
            <w:shd w:val="clear" w:color="auto" w:fill="CCFFCC"/>
          </w:tcPr>
          <w:p>
            <w:pPr>
              <w:pStyle w:val="TableParagraph"/>
              <w:spacing w:line="226" w:lineRule="exact"/>
              <w:ind w:right="417"/>
              <w:jc w:val="right"/>
              <w:rPr>
                <w:rFonts w:ascii="Heiti SC" w:eastAsia="Heiti SC" w:hint="eastAsia"/>
                <w:b/>
                <w:sz w:val="23"/>
              </w:rPr>
            </w:pPr>
            <w:r>
              <w:rPr>
                <w:rFonts w:ascii="Heiti SC" w:eastAsia="Heiti SC" w:hint="eastAsia"/>
                <w:b/>
                <w:sz w:val="23"/>
              </w:rPr>
              <w:t>県全体</w:t>
            </w:r>
          </w:p>
        </w:tc>
        <w:tc>
          <w:tcPr>
            <w:tcW w:w="1725" w:type="dxa"/>
          </w:tcPr>
          <w:p>
            <w:pPr>
              <w:pStyle w:val="TableParagraph"/>
              <w:spacing w:line="226" w:lineRule="exact"/>
              <w:ind w:right="151"/>
              <w:jc w:val="right"/>
              <w:rPr>
                <w:rFonts w:ascii="Heiti SC"/>
                <w:b/>
                <w:sz w:val="23"/>
              </w:rPr>
            </w:pPr>
            <w:r>
              <w:rPr>
                <w:rFonts w:ascii="Heiti SC"/>
                <w:b/>
                <w:w w:val="125"/>
                <w:sz w:val="23"/>
              </w:rPr>
              <w:t>3.1</w:t>
            </w:r>
          </w:p>
        </w:tc>
        <w:tc>
          <w:tcPr>
            <w:tcW w:w="1545" w:type="dxa"/>
          </w:tcPr>
          <w:p>
            <w:pPr>
              <w:pStyle w:val="TableParagraph"/>
              <w:spacing w:line="226" w:lineRule="exact"/>
              <w:ind w:right="154"/>
              <w:jc w:val="right"/>
              <w:rPr>
                <w:rFonts w:ascii="Heiti SC"/>
                <w:b/>
                <w:sz w:val="23"/>
              </w:rPr>
            </w:pPr>
            <w:r>
              <w:rPr>
                <w:rFonts w:ascii="Heiti SC"/>
                <w:b/>
                <w:w w:val="115"/>
                <w:sz w:val="23"/>
              </w:rPr>
              <w:t>12.5</w:t>
            </w:r>
          </w:p>
        </w:tc>
        <w:tc>
          <w:tcPr>
            <w:tcW w:w="1545" w:type="dxa"/>
          </w:tcPr>
          <w:p>
            <w:pPr>
              <w:pStyle w:val="TableParagraph"/>
              <w:spacing w:line="226" w:lineRule="exact"/>
              <w:ind w:right="153"/>
              <w:jc w:val="right"/>
              <w:rPr>
                <w:rFonts w:ascii="Heiti SC"/>
                <w:b/>
                <w:sz w:val="23"/>
              </w:rPr>
            </w:pPr>
            <w:r>
              <w:rPr>
                <w:rFonts w:ascii="Heiti SC"/>
                <w:b/>
                <w:w w:val="115"/>
                <w:sz w:val="23"/>
              </w:rPr>
              <w:t>27.1</w:t>
            </w:r>
          </w:p>
        </w:tc>
        <w:tc>
          <w:tcPr>
            <w:tcW w:w="1545" w:type="dxa"/>
          </w:tcPr>
          <w:p>
            <w:pPr>
              <w:pStyle w:val="TableParagraph"/>
              <w:spacing w:line="226" w:lineRule="exact"/>
              <w:ind w:right="153"/>
              <w:jc w:val="right"/>
              <w:rPr>
                <w:rFonts w:ascii="Heiti SC"/>
                <w:b/>
                <w:sz w:val="23"/>
              </w:rPr>
            </w:pPr>
            <w:r>
              <w:rPr>
                <w:rFonts w:ascii="Heiti SC"/>
                <w:b/>
                <w:w w:val="115"/>
                <w:sz w:val="23"/>
              </w:rPr>
              <w:t>33.3</w:t>
            </w:r>
          </w:p>
        </w:tc>
        <w:tc>
          <w:tcPr>
            <w:tcW w:w="1545" w:type="dxa"/>
          </w:tcPr>
          <w:p>
            <w:pPr>
              <w:pStyle w:val="TableParagraph"/>
              <w:spacing w:line="226" w:lineRule="exact"/>
              <w:ind w:right="152"/>
              <w:jc w:val="right"/>
              <w:rPr>
                <w:rFonts w:ascii="Heiti SC"/>
                <w:b/>
                <w:sz w:val="23"/>
              </w:rPr>
            </w:pPr>
            <w:r>
              <w:rPr>
                <w:rFonts w:ascii="Heiti SC"/>
                <w:b/>
                <w:w w:val="115"/>
                <w:sz w:val="23"/>
              </w:rPr>
              <w:t>24.0</w:t>
            </w:r>
          </w:p>
        </w:tc>
      </w:tr>
      <w:tr>
        <w:trPr>
          <w:trHeight w:val="248" w:hRule="atLeast"/>
        </w:trPr>
        <w:tc>
          <w:tcPr>
            <w:tcW w:w="1615" w:type="dxa"/>
            <w:shd w:val="clear" w:color="auto" w:fill="CCFFCC"/>
          </w:tcPr>
          <w:p>
            <w:pPr>
              <w:pStyle w:val="TableParagraph"/>
              <w:tabs>
                <w:tab w:pos="479" w:val="left" w:leader="none"/>
              </w:tabs>
              <w:spacing w:line="229" w:lineRule="exact"/>
              <w:ind w:right="419"/>
              <w:jc w:val="right"/>
              <w:rPr>
                <w:sz w:val="23"/>
              </w:rPr>
            </w:pPr>
            <w:r>
              <w:rPr>
                <w:w w:val="105"/>
                <w:sz w:val="23"/>
              </w:rPr>
              <w:t>東</w:t>
              <w:tab/>
            </w:r>
            <w:r>
              <w:rPr>
                <w:sz w:val="23"/>
              </w:rPr>
              <w:t>青</w:t>
            </w:r>
          </w:p>
        </w:tc>
        <w:tc>
          <w:tcPr>
            <w:tcW w:w="1725" w:type="dxa"/>
          </w:tcPr>
          <w:p>
            <w:pPr>
              <w:pStyle w:val="TableParagraph"/>
              <w:spacing w:line="229" w:lineRule="exact"/>
              <w:ind w:right="141"/>
              <w:jc w:val="right"/>
              <w:rPr>
                <w:sz w:val="23"/>
              </w:rPr>
            </w:pPr>
            <w:r>
              <w:rPr>
                <w:w w:val="92"/>
                <w:sz w:val="23"/>
              </w:rPr>
              <w:t>3</w:t>
            </w:r>
            <w:r>
              <w:rPr>
                <w:w w:val="185"/>
                <w:sz w:val="23"/>
              </w:rPr>
              <w:t>.</w:t>
            </w:r>
            <w:r>
              <w:rPr>
                <w:w w:val="92"/>
                <w:sz w:val="23"/>
              </w:rPr>
              <w:t>3</w:t>
            </w:r>
          </w:p>
        </w:tc>
        <w:tc>
          <w:tcPr>
            <w:tcW w:w="1545" w:type="dxa"/>
          </w:tcPr>
          <w:p>
            <w:pPr>
              <w:pStyle w:val="TableParagraph"/>
              <w:spacing w:line="229" w:lineRule="exact"/>
              <w:ind w:right="141"/>
              <w:jc w:val="right"/>
              <w:rPr>
                <w:sz w:val="23"/>
              </w:rPr>
            </w:pPr>
            <w:r>
              <w:rPr>
                <w:w w:val="92"/>
                <w:sz w:val="23"/>
              </w:rPr>
              <w:t>6</w:t>
            </w:r>
            <w:r>
              <w:rPr>
                <w:w w:val="185"/>
                <w:sz w:val="23"/>
              </w:rPr>
              <w:t>.</w:t>
            </w:r>
            <w:r>
              <w:rPr>
                <w:w w:val="92"/>
                <w:sz w:val="23"/>
              </w:rPr>
              <w:t>7</w:t>
            </w:r>
          </w:p>
        </w:tc>
        <w:tc>
          <w:tcPr>
            <w:tcW w:w="1545" w:type="dxa"/>
          </w:tcPr>
          <w:p>
            <w:pPr>
              <w:pStyle w:val="TableParagraph"/>
              <w:spacing w:line="229" w:lineRule="exact"/>
              <w:ind w:right="141"/>
              <w:jc w:val="right"/>
              <w:rPr>
                <w:sz w:val="23"/>
              </w:rPr>
            </w:pPr>
            <w:r>
              <w:rPr>
                <w:w w:val="92"/>
                <w:sz w:val="23"/>
              </w:rPr>
              <w:t>30</w:t>
            </w:r>
            <w:r>
              <w:rPr>
                <w:w w:val="185"/>
                <w:sz w:val="23"/>
              </w:rPr>
              <w:t>.</w:t>
            </w:r>
            <w:r>
              <w:rPr>
                <w:w w:val="92"/>
                <w:sz w:val="23"/>
              </w:rPr>
              <w:t>0</w:t>
            </w:r>
          </w:p>
        </w:tc>
        <w:tc>
          <w:tcPr>
            <w:tcW w:w="1545" w:type="dxa"/>
          </w:tcPr>
          <w:p>
            <w:pPr>
              <w:pStyle w:val="TableParagraph"/>
              <w:spacing w:line="229" w:lineRule="exact"/>
              <w:ind w:right="141"/>
              <w:jc w:val="right"/>
              <w:rPr>
                <w:sz w:val="23"/>
              </w:rPr>
            </w:pPr>
            <w:r>
              <w:rPr>
                <w:w w:val="92"/>
                <w:sz w:val="23"/>
              </w:rPr>
              <w:t>36</w:t>
            </w:r>
            <w:r>
              <w:rPr>
                <w:w w:val="185"/>
                <w:sz w:val="23"/>
              </w:rPr>
              <w:t>.</w:t>
            </w:r>
            <w:r>
              <w:rPr>
                <w:w w:val="92"/>
                <w:sz w:val="23"/>
              </w:rPr>
              <w:t>7</w:t>
            </w:r>
          </w:p>
        </w:tc>
        <w:tc>
          <w:tcPr>
            <w:tcW w:w="1545" w:type="dxa"/>
          </w:tcPr>
          <w:p>
            <w:pPr>
              <w:pStyle w:val="TableParagraph"/>
              <w:spacing w:line="229" w:lineRule="exact"/>
              <w:ind w:right="140"/>
              <w:jc w:val="right"/>
              <w:rPr>
                <w:sz w:val="23"/>
              </w:rPr>
            </w:pPr>
            <w:r>
              <w:rPr>
                <w:w w:val="92"/>
                <w:sz w:val="23"/>
              </w:rPr>
              <w:t>23</w:t>
            </w:r>
            <w:r>
              <w:rPr>
                <w:w w:val="185"/>
                <w:sz w:val="23"/>
              </w:rPr>
              <w:t>.</w:t>
            </w:r>
            <w:r>
              <w:rPr>
                <w:w w:val="92"/>
                <w:sz w:val="23"/>
              </w:rPr>
              <w:t>3</w:t>
            </w:r>
          </w:p>
        </w:tc>
      </w:tr>
      <w:tr>
        <w:trPr>
          <w:trHeight w:val="248" w:hRule="atLeast"/>
        </w:trPr>
        <w:tc>
          <w:tcPr>
            <w:tcW w:w="1615" w:type="dxa"/>
            <w:shd w:val="clear" w:color="auto" w:fill="CCFFCC"/>
          </w:tcPr>
          <w:p>
            <w:pPr>
              <w:pStyle w:val="TableParagraph"/>
              <w:tabs>
                <w:tab w:pos="479" w:val="left" w:leader="none"/>
              </w:tabs>
              <w:spacing w:line="229" w:lineRule="exact"/>
              <w:ind w:right="419"/>
              <w:jc w:val="right"/>
              <w:rPr>
                <w:sz w:val="23"/>
              </w:rPr>
            </w:pPr>
            <w:r>
              <w:rPr>
                <w:w w:val="105"/>
                <w:sz w:val="23"/>
              </w:rPr>
              <w:t>津</w:t>
              <w:tab/>
            </w:r>
            <w:r>
              <w:rPr>
                <w:sz w:val="23"/>
              </w:rPr>
              <w:t>軽</w:t>
            </w:r>
          </w:p>
        </w:tc>
        <w:tc>
          <w:tcPr>
            <w:tcW w:w="1725" w:type="dxa"/>
          </w:tcPr>
          <w:p>
            <w:pPr>
              <w:pStyle w:val="TableParagraph"/>
              <w:spacing w:line="229" w:lineRule="exact"/>
              <w:ind w:right="141"/>
              <w:jc w:val="right"/>
              <w:rPr>
                <w:sz w:val="23"/>
              </w:rPr>
            </w:pPr>
            <w:r>
              <w:rPr>
                <w:w w:val="92"/>
                <w:sz w:val="23"/>
              </w:rPr>
              <w:t>0</w:t>
            </w:r>
            <w:r>
              <w:rPr>
                <w:w w:val="185"/>
                <w:sz w:val="23"/>
              </w:rPr>
              <w:t>.</w:t>
            </w:r>
            <w:r>
              <w:rPr>
                <w:w w:val="92"/>
                <w:sz w:val="23"/>
              </w:rPr>
              <w:t>0</w:t>
            </w:r>
          </w:p>
        </w:tc>
        <w:tc>
          <w:tcPr>
            <w:tcW w:w="1545" w:type="dxa"/>
          </w:tcPr>
          <w:p>
            <w:pPr>
              <w:pStyle w:val="TableParagraph"/>
              <w:spacing w:line="229" w:lineRule="exact"/>
              <w:ind w:right="142"/>
              <w:jc w:val="right"/>
              <w:rPr>
                <w:sz w:val="23"/>
              </w:rPr>
            </w:pPr>
            <w:r>
              <w:rPr>
                <w:w w:val="92"/>
                <w:sz w:val="23"/>
              </w:rPr>
              <w:t>14</w:t>
            </w:r>
            <w:r>
              <w:rPr>
                <w:w w:val="185"/>
                <w:sz w:val="23"/>
              </w:rPr>
              <w:t>.</w:t>
            </w:r>
            <w:r>
              <w:rPr>
                <w:w w:val="92"/>
                <w:sz w:val="23"/>
              </w:rPr>
              <w:t>3</w:t>
            </w:r>
          </w:p>
        </w:tc>
        <w:tc>
          <w:tcPr>
            <w:tcW w:w="1545" w:type="dxa"/>
          </w:tcPr>
          <w:p>
            <w:pPr>
              <w:pStyle w:val="TableParagraph"/>
              <w:spacing w:line="229" w:lineRule="exact"/>
              <w:ind w:right="141"/>
              <w:jc w:val="right"/>
              <w:rPr>
                <w:sz w:val="23"/>
              </w:rPr>
            </w:pPr>
            <w:r>
              <w:rPr>
                <w:w w:val="92"/>
                <w:sz w:val="23"/>
              </w:rPr>
              <w:t>28</w:t>
            </w:r>
            <w:r>
              <w:rPr>
                <w:w w:val="185"/>
                <w:sz w:val="23"/>
              </w:rPr>
              <w:t>.</w:t>
            </w:r>
            <w:r>
              <w:rPr>
                <w:w w:val="92"/>
                <w:sz w:val="23"/>
              </w:rPr>
              <w:t>6</w:t>
            </w:r>
          </w:p>
        </w:tc>
        <w:tc>
          <w:tcPr>
            <w:tcW w:w="1545" w:type="dxa"/>
          </w:tcPr>
          <w:p>
            <w:pPr>
              <w:pStyle w:val="TableParagraph"/>
              <w:spacing w:line="229" w:lineRule="exact"/>
              <w:ind w:right="141"/>
              <w:jc w:val="right"/>
              <w:rPr>
                <w:sz w:val="23"/>
              </w:rPr>
            </w:pPr>
            <w:r>
              <w:rPr>
                <w:w w:val="92"/>
                <w:sz w:val="23"/>
              </w:rPr>
              <w:t>32</w:t>
            </w:r>
            <w:r>
              <w:rPr>
                <w:w w:val="185"/>
                <w:sz w:val="23"/>
              </w:rPr>
              <w:t>.</w:t>
            </w:r>
            <w:r>
              <w:rPr>
                <w:w w:val="92"/>
                <w:sz w:val="23"/>
              </w:rPr>
              <w:t>1</w:t>
            </w:r>
          </w:p>
        </w:tc>
        <w:tc>
          <w:tcPr>
            <w:tcW w:w="1545" w:type="dxa"/>
          </w:tcPr>
          <w:p>
            <w:pPr>
              <w:pStyle w:val="TableParagraph"/>
              <w:spacing w:line="229" w:lineRule="exact"/>
              <w:ind w:right="140"/>
              <w:jc w:val="right"/>
              <w:rPr>
                <w:sz w:val="23"/>
              </w:rPr>
            </w:pPr>
            <w:r>
              <w:rPr>
                <w:w w:val="92"/>
                <w:sz w:val="23"/>
              </w:rPr>
              <w:t>25</w:t>
            </w:r>
            <w:r>
              <w:rPr>
                <w:w w:val="185"/>
                <w:sz w:val="23"/>
              </w:rPr>
              <w:t>.</w:t>
            </w:r>
            <w:r>
              <w:rPr>
                <w:w w:val="92"/>
                <w:sz w:val="23"/>
              </w:rPr>
              <w:t>0</w:t>
            </w:r>
          </w:p>
        </w:tc>
      </w:tr>
      <w:tr>
        <w:trPr>
          <w:trHeight w:val="248" w:hRule="atLeast"/>
        </w:trPr>
        <w:tc>
          <w:tcPr>
            <w:tcW w:w="1615" w:type="dxa"/>
            <w:shd w:val="clear" w:color="auto" w:fill="CCFFCC"/>
          </w:tcPr>
          <w:p>
            <w:pPr>
              <w:pStyle w:val="TableParagraph"/>
              <w:tabs>
                <w:tab w:pos="479" w:val="left" w:leader="none"/>
              </w:tabs>
              <w:spacing w:line="229" w:lineRule="exact"/>
              <w:ind w:right="419"/>
              <w:jc w:val="right"/>
              <w:rPr>
                <w:sz w:val="23"/>
              </w:rPr>
            </w:pPr>
            <w:r>
              <w:rPr>
                <w:w w:val="105"/>
                <w:sz w:val="23"/>
              </w:rPr>
              <w:t>県</w:t>
              <w:tab/>
            </w:r>
            <w:r>
              <w:rPr>
                <w:sz w:val="23"/>
              </w:rPr>
              <w:t>南</w:t>
            </w:r>
          </w:p>
        </w:tc>
        <w:tc>
          <w:tcPr>
            <w:tcW w:w="1725" w:type="dxa"/>
          </w:tcPr>
          <w:p>
            <w:pPr>
              <w:pStyle w:val="TableParagraph"/>
              <w:spacing w:line="229" w:lineRule="exact"/>
              <w:ind w:right="141"/>
              <w:jc w:val="right"/>
              <w:rPr>
                <w:sz w:val="23"/>
              </w:rPr>
            </w:pPr>
            <w:r>
              <w:rPr>
                <w:w w:val="92"/>
                <w:sz w:val="23"/>
              </w:rPr>
              <w:t>6</w:t>
            </w:r>
            <w:r>
              <w:rPr>
                <w:w w:val="185"/>
                <w:sz w:val="23"/>
              </w:rPr>
              <w:t>.</w:t>
            </w:r>
            <w:r>
              <w:rPr>
                <w:w w:val="92"/>
                <w:sz w:val="23"/>
              </w:rPr>
              <w:t>9</w:t>
            </w:r>
          </w:p>
        </w:tc>
        <w:tc>
          <w:tcPr>
            <w:tcW w:w="1545" w:type="dxa"/>
          </w:tcPr>
          <w:p>
            <w:pPr>
              <w:pStyle w:val="TableParagraph"/>
              <w:spacing w:line="229" w:lineRule="exact"/>
              <w:ind w:right="142"/>
              <w:jc w:val="right"/>
              <w:rPr>
                <w:sz w:val="23"/>
              </w:rPr>
            </w:pPr>
            <w:r>
              <w:rPr>
                <w:w w:val="92"/>
                <w:sz w:val="23"/>
              </w:rPr>
              <w:t>20</w:t>
            </w:r>
            <w:r>
              <w:rPr>
                <w:w w:val="185"/>
                <w:sz w:val="23"/>
              </w:rPr>
              <w:t>.</w:t>
            </w:r>
            <w:r>
              <w:rPr>
                <w:w w:val="92"/>
                <w:sz w:val="23"/>
              </w:rPr>
              <w:t>7</w:t>
            </w:r>
          </w:p>
        </w:tc>
        <w:tc>
          <w:tcPr>
            <w:tcW w:w="1545" w:type="dxa"/>
          </w:tcPr>
          <w:p>
            <w:pPr>
              <w:pStyle w:val="TableParagraph"/>
              <w:spacing w:line="229" w:lineRule="exact"/>
              <w:ind w:right="141"/>
              <w:jc w:val="right"/>
              <w:rPr>
                <w:sz w:val="23"/>
              </w:rPr>
            </w:pPr>
            <w:r>
              <w:rPr>
                <w:w w:val="92"/>
                <w:sz w:val="23"/>
              </w:rPr>
              <w:t>27</w:t>
            </w:r>
            <w:r>
              <w:rPr>
                <w:w w:val="185"/>
                <w:sz w:val="23"/>
              </w:rPr>
              <w:t>.</w:t>
            </w:r>
            <w:r>
              <w:rPr>
                <w:w w:val="92"/>
                <w:sz w:val="23"/>
              </w:rPr>
              <w:t>6</w:t>
            </w:r>
          </w:p>
        </w:tc>
        <w:tc>
          <w:tcPr>
            <w:tcW w:w="1545" w:type="dxa"/>
          </w:tcPr>
          <w:p>
            <w:pPr>
              <w:pStyle w:val="TableParagraph"/>
              <w:spacing w:line="229" w:lineRule="exact"/>
              <w:ind w:right="141"/>
              <w:jc w:val="right"/>
              <w:rPr>
                <w:sz w:val="23"/>
              </w:rPr>
            </w:pPr>
            <w:r>
              <w:rPr>
                <w:w w:val="92"/>
                <w:sz w:val="23"/>
              </w:rPr>
              <w:t>27</w:t>
            </w:r>
            <w:r>
              <w:rPr>
                <w:w w:val="185"/>
                <w:sz w:val="23"/>
              </w:rPr>
              <w:t>.</w:t>
            </w:r>
            <w:r>
              <w:rPr>
                <w:w w:val="92"/>
                <w:sz w:val="23"/>
              </w:rPr>
              <w:t>6</w:t>
            </w:r>
          </w:p>
        </w:tc>
        <w:tc>
          <w:tcPr>
            <w:tcW w:w="1545" w:type="dxa"/>
          </w:tcPr>
          <w:p>
            <w:pPr>
              <w:pStyle w:val="TableParagraph"/>
              <w:spacing w:line="229" w:lineRule="exact"/>
              <w:ind w:right="140"/>
              <w:jc w:val="right"/>
              <w:rPr>
                <w:sz w:val="23"/>
              </w:rPr>
            </w:pPr>
            <w:r>
              <w:rPr>
                <w:w w:val="92"/>
                <w:sz w:val="23"/>
              </w:rPr>
              <w:t>17</w:t>
            </w:r>
            <w:r>
              <w:rPr>
                <w:w w:val="185"/>
                <w:sz w:val="23"/>
              </w:rPr>
              <w:t>.</w:t>
            </w:r>
            <w:r>
              <w:rPr>
                <w:w w:val="92"/>
                <w:sz w:val="23"/>
              </w:rPr>
              <w:t>2</w:t>
            </w:r>
          </w:p>
        </w:tc>
      </w:tr>
      <w:tr>
        <w:trPr>
          <w:trHeight w:val="248" w:hRule="atLeast"/>
        </w:trPr>
        <w:tc>
          <w:tcPr>
            <w:tcW w:w="1615" w:type="dxa"/>
            <w:shd w:val="clear" w:color="auto" w:fill="CCFFCC"/>
          </w:tcPr>
          <w:p>
            <w:pPr>
              <w:pStyle w:val="TableParagraph"/>
              <w:tabs>
                <w:tab w:pos="479" w:val="left" w:leader="none"/>
              </w:tabs>
              <w:spacing w:line="229" w:lineRule="exact"/>
              <w:ind w:right="419"/>
              <w:jc w:val="right"/>
              <w:rPr>
                <w:sz w:val="23"/>
              </w:rPr>
            </w:pPr>
            <w:r>
              <w:rPr>
                <w:w w:val="105"/>
                <w:sz w:val="23"/>
              </w:rPr>
              <w:t>下</w:t>
              <w:tab/>
            </w:r>
            <w:r>
              <w:rPr>
                <w:sz w:val="23"/>
              </w:rPr>
              <w:t>北</w:t>
            </w:r>
          </w:p>
        </w:tc>
        <w:tc>
          <w:tcPr>
            <w:tcW w:w="1725" w:type="dxa"/>
          </w:tcPr>
          <w:p>
            <w:pPr>
              <w:pStyle w:val="TableParagraph"/>
              <w:spacing w:line="229" w:lineRule="exact"/>
              <w:ind w:right="141"/>
              <w:jc w:val="right"/>
              <w:rPr>
                <w:sz w:val="23"/>
              </w:rPr>
            </w:pPr>
            <w:r>
              <w:rPr>
                <w:w w:val="92"/>
                <w:sz w:val="23"/>
              </w:rPr>
              <w:t>0</w:t>
            </w:r>
            <w:r>
              <w:rPr>
                <w:w w:val="185"/>
                <w:sz w:val="23"/>
              </w:rPr>
              <w:t>.</w:t>
            </w:r>
            <w:r>
              <w:rPr>
                <w:w w:val="92"/>
                <w:sz w:val="23"/>
              </w:rPr>
              <w:t>0</w:t>
            </w:r>
          </w:p>
        </w:tc>
        <w:tc>
          <w:tcPr>
            <w:tcW w:w="1545" w:type="dxa"/>
          </w:tcPr>
          <w:p>
            <w:pPr>
              <w:pStyle w:val="TableParagraph"/>
              <w:spacing w:line="229" w:lineRule="exact"/>
              <w:ind w:right="141"/>
              <w:jc w:val="right"/>
              <w:rPr>
                <w:sz w:val="23"/>
              </w:rPr>
            </w:pPr>
            <w:r>
              <w:rPr>
                <w:w w:val="92"/>
                <w:sz w:val="23"/>
              </w:rPr>
              <w:t>0</w:t>
            </w:r>
            <w:r>
              <w:rPr>
                <w:w w:val="185"/>
                <w:sz w:val="23"/>
              </w:rPr>
              <w:t>.</w:t>
            </w:r>
            <w:r>
              <w:rPr>
                <w:w w:val="92"/>
                <w:sz w:val="23"/>
              </w:rPr>
              <w:t>0</w:t>
            </w:r>
          </w:p>
        </w:tc>
        <w:tc>
          <w:tcPr>
            <w:tcW w:w="1545" w:type="dxa"/>
          </w:tcPr>
          <w:p>
            <w:pPr>
              <w:pStyle w:val="TableParagraph"/>
              <w:spacing w:line="229" w:lineRule="exact"/>
              <w:ind w:right="141"/>
              <w:jc w:val="right"/>
              <w:rPr>
                <w:sz w:val="23"/>
              </w:rPr>
            </w:pPr>
            <w:r>
              <w:rPr>
                <w:w w:val="92"/>
                <w:sz w:val="23"/>
              </w:rPr>
              <w:t>11</w:t>
            </w:r>
            <w:r>
              <w:rPr>
                <w:w w:val="185"/>
                <w:sz w:val="23"/>
              </w:rPr>
              <w:t>.</w:t>
            </w:r>
            <w:r>
              <w:rPr>
                <w:w w:val="92"/>
                <w:sz w:val="23"/>
              </w:rPr>
              <w:t>1</w:t>
            </w:r>
          </w:p>
        </w:tc>
        <w:tc>
          <w:tcPr>
            <w:tcW w:w="1545" w:type="dxa"/>
          </w:tcPr>
          <w:p>
            <w:pPr>
              <w:pStyle w:val="TableParagraph"/>
              <w:spacing w:line="229" w:lineRule="exact"/>
              <w:ind w:right="141"/>
              <w:jc w:val="right"/>
              <w:rPr>
                <w:sz w:val="23"/>
              </w:rPr>
            </w:pPr>
            <w:r>
              <w:rPr>
                <w:w w:val="92"/>
                <w:sz w:val="23"/>
              </w:rPr>
              <w:t>44</w:t>
            </w:r>
            <w:r>
              <w:rPr>
                <w:w w:val="185"/>
                <w:sz w:val="23"/>
              </w:rPr>
              <w:t>.</w:t>
            </w:r>
            <w:r>
              <w:rPr>
                <w:w w:val="92"/>
                <w:sz w:val="23"/>
              </w:rPr>
              <w:t>4</w:t>
            </w:r>
          </w:p>
        </w:tc>
        <w:tc>
          <w:tcPr>
            <w:tcW w:w="1545" w:type="dxa"/>
          </w:tcPr>
          <w:p>
            <w:pPr>
              <w:pStyle w:val="TableParagraph"/>
              <w:spacing w:line="229" w:lineRule="exact"/>
              <w:ind w:right="140"/>
              <w:jc w:val="right"/>
              <w:rPr>
                <w:sz w:val="23"/>
              </w:rPr>
            </w:pPr>
            <w:r>
              <w:rPr>
                <w:w w:val="92"/>
                <w:sz w:val="23"/>
              </w:rPr>
              <w:t>44</w:t>
            </w:r>
            <w:r>
              <w:rPr>
                <w:w w:val="185"/>
                <w:sz w:val="23"/>
              </w:rPr>
              <w:t>.</w:t>
            </w:r>
            <w:r>
              <w:rPr>
                <w:w w:val="92"/>
                <w:sz w:val="23"/>
              </w:rPr>
              <w:t>4</w:t>
            </w:r>
          </w:p>
        </w:tc>
      </w:tr>
    </w:tbl>
    <w:p>
      <w:pPr>
        <w:pStyle w:val="BodyText"/>
        <w:spacing w:before="6"/>
        <w:rPr>
          <w:sz w:val="20"/>
        </w:rPr>
      </w:pPr>
      <w:r>
        <w:rPr/>
        <w:pict>
          <v:group style="position:absolute;margin-left:135.901001pt;margin-top:15.726072pt;width:331.45pt;height:207.5pt;mso-position-horizontal-relative:page;mso-position-vertical-relative:paragraph;z-index:-256;mso-wrap-distance-left:0;mso-wrap-distance-right:0" coordorigin="2718,315" coordsize="6629,4150">
            <v:rect style="position:absolute;left:2719;top:315;width:6627;height:4148" filled="false" stroked="true" strokeweight=".12pt" strokecolor="#7f7f7f">
              <v:stroke dashstyle="solid"/>
            </v:rect>
            <v:rect style="position:absolute;left:3194;top:3226;width:560;height:605" filled="true" fillcolor="#d1debd" stroked="false">
              <v:fill type="solid"/>
            </v:rect>
            <v:rect style="position:absolute;left:3194;top:3226;width:557;height:603" filled="false" stroked="true" strokeweight=".12pt" strokecolor="#7f7f00">
              <v:stroke dashstyle="solid"/>
            </v:rect>
            <v:rect style="position:absolute;left:4286;top:3183;width:560;height:648" filled="true" fillcolor="#d1debd" stroked="false">
              <v:fill type="solid"/>
            </v:rect>
            <v:rect style="position:absolute;left:4286;top:3183;width:557;height:646" filled="false" stroked="true" strokeweight=".12pt" strokecolor="#7f7f00">
              <v:stroke dashstyle="solid"/>
            </v:rect>
            <v:rect style="position:absolute;left:5378;top:3385;width:560;height:447" filled="true" fillcolor="#d1debd" stroked="false">
              <v:fill type="solid"/>
            </v:rect>
            <v:rect style="position:absolute;left:5378;top:3385;width:557;height:444" filled="false" stroked="true" strokeweight=".12pt" strokecolor="#7f7f00">
              <v:stroke dashstyle="solid"/>
            </v:rect>
            <v:rect style="position:absolute;left:6470;top:2679;width:560;height:1152" filled="true" fillcolor="#d1debd" stroked="false">
              <v:fill type="solid"/>
            </v:rect>
            <v:rect style="position:absolute;left:6470;top:2679;width:557;height:1150" filled="false" stroked="true" strokeweight=".12pt" strokecolor="#7f7f00">
              <v:stroke dashstyle="solid"/>
            </v:rect>
            <v:rect style="position:absolute;left:3194;top:2278;width:560;height:949" filled="true" fillcolor="#b8cd95" stroked="false">
              <v:fill type="solid"/>
            </v:rect>
            <v:rect style="position:absolute;left:3194;top:2278;width:557;height:946" filled="false" stroked="true" strokeweight=".12pt" strokecolor="#7f7f00">
              <v:stroke dashstyle="solid"/>
            </v:rect>
            <v:rect style="position:absolute;left:4286;top:2353;width:560;height:831" filled="true" fillcolor="#b8cd95" stroked="false">
              <v:fill type="solid"/>
            </v:rect>
            <v:rect style="position:absolute;left:4286;top:2353;width:557;height:828" filled="false" stroked="true" strokeweight=".12pt" strokecolor="#7f7f00">
              <v:stroke dashstyle="solid"/>
            </v:rect>
            <v:rect style="position:absolute;left:5378;top:2672;width:560;height:713" filled="true" fillcolor="#b8cd95" stroked="false">
              <v:fill type="solid"/>
            </v:rect>
            <v:rect style="position:absolute;left:5378;top:2672;width:557;height:711" filled="false" stroked="true" strokeweight=".12pt" strokecolor="#7f7f00">
              <v:stroke dashstyle="solid"/>
            </v:rect>
            <v:rect style="position:absolute;left:6470;top:1532;width:560;height:1148" filled="true" fillcolor="#b8cd95" stroked="false">
              <v:fill type="solid"/>
            </v:rect>
            <v:rect style="position:absolute;left:6470;top:1532;width:557;height:1145" filled="false" stroked="true" strokeweight=".12pt" strokecolor="#7f7f00">
              <v:stroke dashstyle="solid"/>
            </v:rect>
            <v:rect style="position:absolute;left:3194;top:1503;width:560;height:776" filled="true" fillcolor="#9aba59" stroked="false">
              <v:fill type="solid"/>
            </v:rect>
            <v:rect style="position:absolute;left:3194;top:1503;width:557;height:773" filled="false" stroked="true" strokeweight=".12pt" strokecolor="#7f7f00">
              <v:stroke dashstyle="solid"/>
            </v:rect>
            <v:rect style="position:absolute;left:4286;top:1614;width:560;height:740" filled="true" fillcolor="#9aba59" stroked="false">
              <v:fill type="solid"/>
            </v:rect>
            <v:rect style="position:absolute;left:4286;top:1614;width:557;height:737" filled="false" stroked="true" strokeweight=".12pt" strokecolor="#7f7f00">
              <v:stroke dashstyle="solid"/>
            </v:rect>
            <v:rect style="position:absolute;left:5378;top:1957;width:560;height:716" filled="true" fillcolor="#9aba59" stroked="false">
              <v:fill type="solid"/>
            </v:rect>
            <v:rect style="position:absolute;left:5378;top:1957;width:557;height:713" filled="false" stroked="true" strokeweight=".12pt" strokecolor="#7f7f00">
              <v:stroke dashstyle="solid"/>
            </v:rect>
            <v:rect style="position:absolute;left:6470;top:1244;width:560;height:288" filled="true" fillcolor="#9aba59" stroked="false">
              <v:fill type="solid"/>
            </v:rect>
            <v:rect style="position:absolute;left:6470;top:1244;width:557;height:286" filled="false" stroked="true" strokeweight=".12pt" strokecolor="#7f7f00">
              <v:stroke dashstyle="solid"/>
            </v:rect>
            <v:rect style="position:absolute;left:3194;top:1330;width:560;height:173" filled="true" fillcolor="#88a44e" stroked="false">
              <v:fill type="solid"/>
            </v:rect>
            <v:rect style="position:absolute;left:3194;top:1330;width:557;height:171" filled="false" stroked="true" strokeweight=".12pt" strokecolor="#7f7f00">
              <v:stroke dashstyle="solid"/>
            </v:rect>
            <v:rect style="position:absolute;left:4286;top:1244;width:560;height:370" filled="true" fillcolor="#88a44e" stroked="false">
              <v:fill type="solid"/>
            </v:rect>
            <v:rect style="position:absolute;left:4286;top:1244;width:557;height:368" filled="false" stroked="true" strokeweight=".12pt" strokecolor="#7f7f00">
              <v:stroke dashstyle="solid"/>
            </v:rect>
            <v:rect style="position:absolute;left:5378;top:1422;width:560;height:536" filled="true" fillcolor="#88a44e" stroked="false">
              <v:fill type="solid"/>
            </v:rect>
            <v:rect style="position:absolute;left:5378;top:1422;width:557;height:533" filled="false" stroked="true" strokeweight=".12pt" strokecolor="#7f7f00">
              <v:stroke dashstyle="solid"/>
            </v:rect>
            <v:rect style="position:absolute;left:3194;top:1244;width:560;height:87" filled="true" fillcolor="#738b40" stroked="false">
              <v:fill type="solid"/>
            </v:rect>
            <v:rect style="position:absolute;left:3194;top:1244;width:557;height:84" filled="false" stroked="true" strokeweight=".12pt" strokecolor="#7f7f00">
              <v:stroke dashstyle="solid"/>
            </v:rect>
            <v:rect style="position:absolute;left:5378;top:1244;width:560;height:178" filled="true" fillcolor="#738b40" stroked="false">
              <v:fill type="solid"/>
            </v:rect>
            <v:rect style="position:absolute;left:5378;top:1244;width:557;height:176" filled="false" stroked="true" strokeweight=".12pt" strokecolor="#7f7f00">
              <v:stroke dashstyle="solid"/>
            </v:rect>
            <v:line style="position:absolute" from="2928,3829" to="7296,3829" stroked="true" strokeweight=".12pt" strokecolor="#7f7f7f">
              <v:stroke dashstyle="solid"/>
            </v:line>
            <v:rect style="position:absolute;left:7629;top:1203;width:106;height:106" filled="true" fillcolor="#738b40" stroked="false">
              <v:fill type="solid"/>
            </v:rect>
            <v:rect style="position:absolute;left:7629;top:1203;width:104;height:104" filled="false" stroked="true" strokeweight=".12pt" strokecolor="#7f7f00">
              <v:stroke dashstyle="solid"/>
            </v:rect>
            <v:rect style="position:absolute;left:7629;top:1798;width:106;height:106" filled="true" fillcolor="#88a44e" stroked="false">
              <v:fill type="solid"/>
            </v:rect>
            <v:rect style="position:absolute;left:7629;top:1798;width:104;height:104" filled="false" stroked="true" strokeweight=".12pt" strokecolor="#7f7f00">
              <v:stroke dashstyle="solid"/>
            </v:rect>
            <v:rect style="position:absolute;left:7629;top:2391;width:106;height:106" filled="true" fillcolor="#9aba59" stroked="false">
              <v:fill type="solid"/>
            </v:rect>
            <v:rect style="position:absolute;left:7629;top:2391;width:104;height:104" filled="false" stroked="true" strokeweight=".12pt" strokecolor="#7f7f00">
              <v:stroke dashstyle="solid"/>
            </v:rect>
            <v:rect style="position:absolute;left:7629;top:2986;width:106;height:106" filled="true" fillcolor="#b8cd95" stroked="false">
              <v:fill type="solid"/>
            </v:rect>
            <v:rect style="position:absolute;left:7629;top:2986;width:104;height:104" filled="false" stroked="true" strokeweight=".12pt" strokecolor="#7f7f00">
              <v:stroke dashstyle="solid"/>
            </v:rect>
            <v:rect style="position:absolute;left:7629;top:3579;width:106;height:106" filled="true" fillcolor="#d1debd" stroked="false">
              <v:fill type="solid"/>
            </v:rect>
            <v:rect style="position:absolute;left:7629;top:3579;width:104;height:104" filled="false" stroked="true" strokeweight=".12pt" strokecolor="#7f7f00">
              <v:stroke dashstyle="solid"/>
            </v:rect>
            <v:rect style="position:absolute;left:2719;top:315;width:6627;height:4148" filled="false" stroked="true" strokeweight=".12pt" strokecolor="#7f7f7f">
              <v:stroke dashstyle="solid"/>
            </v:rect>
            <v:shape style="position:absolute;left:3216;top:3977;width:3815;height:200" type="#_x0000_t202" filled="false" stroked="false">
              <v:textbox inset="0,0,0,0">
                <w:txbxContent>
                  <w:p>
                    <w:pPr>
                      <w:tabs>
                        <w:tab w:pos="1091" w:val="left" w:leader="none"/>
                        <w:tab w:pos="2184" w:val="left" w:leader="none"/>
                        <w:tab w:pos="3276" w:val="left" w:leader="none"/>
                      </w:tabs>
                      <w:spacing w:line="199" w:lineRule="exact" w:before="0"/>
                      <w:ind w:left="0" w:right="0" w:firstLine="0"/>
                      <w:jc w:val="left"/>
                      <w:rPr>
                        <w:sz w:val="20"/>
                      </w:rPr>
                    </w:pPr>
                    <w:r>
                      <w:rPr>
                        <w:sz w:val="20"/>
                      </w:rPr>
                      <w:t>東 </w:t>
                    </w:r>
                    <w:r>
                      <w:rPr>
                        <w:spacing w:val="8"/>
                        <w:sz w:val="20"/>
                      </w:rPr>
                      <w:t> </w:t>
                    </w:r>
                    <w:r>
                      <w:rPr>
                        <w:sz w:val="20"/>
                      </w:rPr>
                      <w:t>青</w:t>
                      <w:tab/>
                      <w:t>津 </w:t>
                    </w:r>
                    <w:r>
                      <w:rPr>
                        <w:spacing w:val="8"/>
                        <w:sz w:val="20"/>
                      </w:rPr>
                      <w:t> </w:t>
                    </w:r>
                    <w:r>
                      <w:rPr>
                        <w:sz w:val="20"/>
                      </w:rPr>
                      <w:t>軽</w:t>
                      <w:tab/>
                      <w:t>県 </w:t>
                    </w:r>
                    <w:r>
                      <w:rPr>
                        <w:spacing w:val="8"/>
                        <w:sz w:val="20"/>
                      </w:rPr>
                      <w:t> </w:t>
                    </w:r>
                    <w:r>
                      <w:rPr>
                        <w:sz w:val="20"/>
                      </w:rPr>
                      <w:t>南</w:t>
                      <w:tab/>
                      <w:t>下</w:t>
                    </w:r>
                    <w:r>
                      <w:rPr>
                        <w:spacing w:val="8"/>
                        <w:sz w:val="20"/>
                      </w:rPr>
                      <w:t> </w:t>
                    </w:r>
                    <w:r>
                      <w:rPr>
                        <w:sz w:val="20"/>
                      </w:rPr>
                      <w:t>北</w:t>
                    </w:r>
                  </w:p>
                </w:txbxContent>
              </v:textbox>
              <w10:wrap type="none"/>
            </v:shape>
            <v:shape style="position:absolute;left:7776;top:3532;width:1002;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下回っている</w:t>
                    </w:r>
                  </w:p>
                </w:txbxContent>
              </v:textbox>
              <w10:wrap type="none"/>
            </v:shape>
            <v:shape style="position:absolute;left:5486;top:3502;width:360;height:200" type="#_x0000_t202" filled="false" stroked="false">
              <v:textbox inset="0,0,0,0">
                <w:txbxContent>
                  <w:p>
                    <w:pPr>
                      <w:spacing w:line="199" w:lineRule="exact" w:before="0"/>
                      <w:ind w:left="0" w:right="0" w:firstLine="0"/>
                      <w:jc w:val="left"/>
                      <w:rPr>
                        <w:sz w:val="20"/>
                      </w:rPr>
                    </w:pPr>
                    <w:r>
                      <w:rPr>
                        <w:w w:val="90"/>
                        <w:sz w:val="20"/>
                      </w:rPr>
                      <w:t>17.2</w:t>
                    </w:r>
                  </w:p>
                </w:txbxContent>
              </v:textbox>
              <w10:wrap type="none"/>
            </v:shape>
            <v:shape style="position:absolute;left:4394;top:3401;width:360;height:200" type="#_x0000_t202" filled="false" stroked="false">
              <v:textbox inset="0,0,0,0">
                <w:txbxContent>
                  <w:p>
                    <w:pPr>
                      <w:spacing w:line="199" w:lineRule="exact" w:before="0"/>
                      <w:ind w:left="0" w:right="0" w:firstLine="0"/>
                      <w:jc w:val="left"/>
                      <w:rPr>
                        <w:sz w:val="20"/>
                      </w:rPr>
                    </w:pPr>
                    <w:r>
                      <w:rPr>
                        <w:w w:val="90"/>
                        <w:sz w:val="20"/>
                      </w:rPr>
                      <w:t>25.0</w:t>
                    </w:r>
                  </w:p>
                </w:txbxContent>
              </v:textbox>
              <w10:wrap type="none"/>
            </v:shape>
            <v:shape style="position:absolute;left:3302;top:3422;width:360;height:200" type="#_x0000_t202" filled="false" stroked="false">
              <v:textbox inset="0,0,0,0">
                <w:txbxContent>
                  <w:p>
                    <w:pPr>
                      <w:spacing w:line="199" w:lineRule="exact" w:before="0"/>
                      <w:ind w:left="0" w:right="0" w:firstLine="0"/>
                      <w:jc w:val="left"/>
                      <w:rPr>
                        <w:sz w:val="20"/>
                      </w:rPr>
                    </w:pPr>
                    <w:r>
                      <w:rPr>
                        <w:w w:val="90"/>
                        <w:sz w:val="20"/>
                      </w:rPr>
                      <w:t>23.3</w:t>
                    </w:r>
                  </w:p>
                </w:txbxContent>
              </v:textbox>
              <w10:wrap type="none"/>
            </v:shape>
            <v:shape style="position:absolute;left:7776;top:2939;width:1357;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やや下回っている</w:t>
                    </w:r>
                  </w:p>
                </w:txbxContent>
              </v:textbox>
              <w10:wrap type="none"/>
            </v:shape>
            <v:shape style="position:absolute;left:6578;top:3149;width:360;height:200" type="#_x0000_t202" filled="false" stroked="false">
              <v:textbox inset="0,0,0,0">
                <w:txbxContent>
                  <w:p>
                    <w:pPr>
                      <w:spacing w:line="199" w:lineRule="exact" w:before="0"/>
                      <w:ind w:left="0" w:right="0" w:firstLine="0"/>
                      <w:jc w:val="left"/>
                      <w:rPr>
                        <w:sz w:val="20"/>
                      </w:rPr>
                    </w:pPr>
                    <w:r>
                      <w:rPr>
                        <w:w w:val="90"/>
                        <w:sz w:val="20"/>
                      </w:rPr>
                      <w:t>44.4</w:t>
                    </w:r>
                  </w:p>
                </w:txbxContent>
              </v:textbox>
              <w10:wrap type="none"/>
            </v:shape>
            <v:shape style="position:absolute;left:5486;top:2921;width:360;height:200" type="#_x0000_t202" filled="false" stroked="false">
              <v:textbox inset="0,0,0,0">
                <w:txbxContent>
                  <w:p>
                    <w:pPr>
                      <w:spacing w:line="199" w:lineRule="exact" w:before="0"/>
                      <w:ind w:left="0" w:right="0" w:firstLine="0"/>
                      <w:jc w:val="left"/>
                      <w:rPr>
                        <w:sz w:val="20"/>
                      </w:rPr>
                    </w:pPr>
                    <w:r>
                      <w:rPr>
                        <w:w w:val="90"/>
                        <w:sz w:val="20"/>
                      </w:rPr>
                      <w:t>27.6</w:t>
                    </w:r>
                  </w:p>
                </w:txbxContent>
              </v:textbox>
              <w10:wrap type="none"/>
            </v:shape>
            <v:shape style="position:absolute;left:4394;top:2662;width:360;height:200" type="#_x0000_t202" filled="false" stroked="false">
              <v:textbox inset="0,0,0,0">
                <w:txbxContent>
                  <w:p>
                    <w:pPr>
                      <w:spacing w:line="199" w:lineRule="exact" w:before="0"/>
                      <w:ind w:left="0" w:right="0" w:firstLine="0"/>
                      <w:jc w:val="left"/>
                      <w:rPr>
                        <w:sz w:val="20"/>
                      </w:rPr>
                    </w:pPr>
                    <w:r>
                      <w:rPr>
                        <w:w w:val="90"/>
                        <w:sz w:val="20"/>
                      </w:rPr>
                      <w:t>32.1</w:t>
                    </w:r>
                  </w:p>
                </w:txbxContent>
              </v:textbox>
              <w10:wrap type="none"/>
            </v:shape>
            <v:shape style="position:absolute;left:3302;top:2645;width:360;height:200" type="#_x0000_t202" filled="false" stroked="false">
              <v:textbox inset="0,0,0,0">
                <w:txbxContent>
                  <w:p>
                    <w:pPr>
                      <w:spacing w:line="199" w:lineRule="exact" w:before="0"/>
                      <w:ind w:left="0" w:right="0" w:firstLine="0"/>
                      <w:jc w:val="left"/>
                      <w:rPr>
                        <w:sz w:val="20"/>
                      </w:rPr>
                    </w:pPr>
                    <w:r>
                      <w:rPr>
                        <w:w w:val="90"/>
                        <w:sz w:val="20"/>
                      </w:rPr>
                      <w:t>36.7</w:t>
                    </w:r>
                  </w:p>
                </w:txbxContent>
              </v:textbox>
              <w10:wrap type="none"/>
            </v:shape>
            <v:shape style="position:absolute;left:7776;top:2344;width:1223;height:178" type="#_x0000_t202" filled="false" stroked="false">
              <v:textbox inset="0,0,0,0">
                <w:txbxContent>
                  <w:p>
                    <w:pPr>
                      <w:spacing w:line="178" w:lineRule="exact" w:before="0"/>
                      <w:ind w:left="0" w:right="0" w:firstLine="0"/>
                      <w:jc w:val="left"/>
                      <w:rPr>
                        <w:sz w:val="17"/>
                      </w:rPr>
                    </w:pPr>
                    <w:r>
                      <w:rPr>
                        <w:sz w:val="17"/>
                      </w:rPr>
                      <w:t>震災前と同程度</w:t>
                    </w:r>
                  </w:p>
                </w:txbxContent>
              </v:textbox>
              <w10:wrap type="none"/>
            </v:shape>
            <v:shape style="position:absolute;left:5486;top:2208;width:360;height:200" type="#_x0000_t202" filled="false" stroked="false">
              <v:textbox inset="0,0,0,0">
                <w:txbxContent>
                  <w:p>
                    <w:pPr>
                      <w:spacing w:line="199" w:lineRule="exact" w:before="0"/>
                      <w:ind w:left="0" w:right="0" w:firstLine="0"/>
                      <w:jc w:val="left"/>
                      <w:rPr>
                        <w:sz w:val="20"/>
                      </w:rPr>
                    </w:pPr>
                    <w:r>
                      <w:rPr>
                        <w:color w:val="FFFFFF"/>
                        <w:w w:val="90"/>
                        <w:sz w:val="20"/>
                      </w:rPr>
                      <w:t>27.6</w:t>
                    </w:r>
                  </w:p>
                </w:txbxContent>
              </v:textbox>
              <w10:wrap type="none"/>
            </v:shape>
            <v:shape style="position:absolute;left:7776;top:1751;width:1357;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やや上回っている</w:t>
                    </w:r>
                  </w:p>
                </w:txbxContent>
              </v:textbox>
              <w10:wrap type="none"/>
            </v:shape>
            <v:shape style="position:absolute;left:6578;top:1999;width:360;height:200" type="#_x0000_t202" filled="false" stroked="false">
              <v:textbox inset="0,0,0,0">
                <w:txbxContent>
                  <w:p>
                    <w:pPr>
                      <w:spacing w:line="199" w:lineRule="exact" w:before="0"/>
                      <w:ind w:left="0" w:right="0" w:firstLine="0"/>
                      <w:jc w:val="left"/>
                      <w:rPr>
                        <w:sz w:val="20"/>
                      </w:rPr>
                    </w:pPr>
                    <w:r>
                      <w:rPr>
                        <w:w w:val="90"/>
                        <w:sz w:val="20"/>
                      </w:rPr>
                      <w:t>44.4</w:t>
                    </w:r>
                  </w:p>
                </w:txbxContent>
              </v:textbox>
              <w10:wrap type="none"/>
            </v:shape>
            <v:shape style="position:absolute;left:4394;top:1877;width:360;height:200" type="#_x0000_t202" filled="false" stroked="false">
              <v:textbox inset="0,0,0,0">
                <w:txbxContent>
                  <w:p>
                    <w:pPr>
                      <w:spacing w:line="199" w:lineRule="exact" w:before="0"/>
                      <w:ind w:left="0" w:right="0" w:firstLine="0"/>
                      <w:jc w:val="left"/>
                      <w:rPr>
                        <w:sz w:val="20"/>
                      </w:rPr>
                    </w:pPr>
                    <w:r>
                      <w:rPr>
                        <w:color w:val="FFFFFF"/>
                        <w:w w:val="90"/>
                        <w:sz w:val="20"/>
                      </w:rPr>
                      <w:t>28.6</w:t>
                    </w:r>
                  </w:p>
                </w:txbxContent>
              </v:textbox>
              <w10:wrap type="none"/>
            </v:shape>
            <v:shape style="position:absolute;left:3302;top:1783;width:360;height:200" type="#_x0000_t202" filled="false" stroked="false">
              <v:textbox inset="0,0,0,0">
                <w:txbxContent>
                  <w:p>
                    <w:pPr>
                      <w:spacing w:line="199" w:lineRule="exact" w:before="0"/>
                      <w:ind w:left="0" w:right="0" w:firstLine="0"/>
                      <w:jc w:val="left"/>
                      <w:rPr>
                        <w:sz w:val="20"/>
                      </w:rPr>
                    </w:pPr>
                    <w:r>
                      <w:rPr>
                        <w:color w:val="FFFFFF"/>
                        <w:w w:val="90"/>
                        <w:sz w:val="20"/>
                      </w:rPr>
                      <w:t>30.0</w:t>
                    </w:r>
                  </w:p>
                </w:txbxContent>
              </v:textbox>
              <w10:wrap type="none"/>
            </v:shape>
            <v:shape style="position:absolute;left:7776;top:1156;width:1002;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上回っている</w:t>
                    </w:r>
                  </w:p>
                </w:txbxContent>
              </v:textbox>
              <w10:wrap type="none"/>
            </v:shape>
            <v:shape style="position:absolute;left:6578;top:1138;width:360;height:344" type="#_x0000_t202" filled="false" stroked="false">
              <v:textbox inset="0,0,0,0">
                <w:txbxContent>
                  <w:p>
                    <w:pPr>
                      <w:spacing w:line="163" w:lineRule="exact" w:before="0"/>
                      <w:ind w:left="50" w:right="0" w:firstLine="0"/>
                      <w:jc w:val="left"/>
                      <w:rPr>
                        <w:sz w:val="20"/>
                      </w:rPr>
                    </w:pPr>
                    <w:r>
                      <w:rPr>
                        <w:w w:val="95"/>
                        <w:sz w:val="20"/>
                      </w:rPr>
                      <w:t>0.0</w:t>
                    </w:r>
                  </w:p>
                  <w:p>
                    <w:pPr>
                      <w:spacing w:line="180" w:lineRule="exact" w:before="0"/>
                      <w:ind w:left="0" w:right="0" w:firstLine="0"/>
                      <w:jc w:val="left"/>
                      <w:rPr>
                        <w:sz w:val="20"/>
                      </w:rPr>
                    </w:pPr>
                    <w:r>
                      <w:rPr>
                        <w:color w:val="FFFFFF"/>
                        <w:w w:val="90"/>
                        <w:sz w:val="20"/>
                      </w:rPr>
                      <w:t>11.1</w:t>
                    </w:r>
                  </w:p>
                </w:txbxContent>
              </v:textbox>
              <w10:wrap type="none"/>
            </v:shape>
            <v:shape style="position:absolute;left:5486;top:1226;width:360;height:555" type="#_x0000_t202" filled="false" stroked="false">
              <v:textbox inset="0,0,0,0">
                <w:txbxContent>
                  <w:p>
                    <w:pPr>
                      <w:spacing w:line="225" w:lineRule="exact" w:before="0"/>
                      <w:ind w:left="50" w:right="0" w:firstLine="0"/>
                      <w:jc w:val="left"/>
                      <w:rPr>
                        <w:sz w:val="20"/>
                      </w:rPr>
                    </w:pPr>
                    <w:r>
                      <w:rPr>
                        <w:w w:val="95"/>
                        <w:sz w:val="20"/>
                      </w:rPr>
                      <w:t>6.9</w:t>
                    </w:r>
                  </w:p>
                  <w:p>
                    <w:pPr>
                      <w:spacing w:line="242" w:lineRule="exact" w:before="87"/>
                      <w:ind w:left="0" w:right="0" w:firstLine="0"/>
                      <w:jc w:val="left"/>
                      <w:rPr>
                        <w:sz w:val="20"/>
                      </w:rPr>
                    </w:pPr>
                    <w:r>
                      <w:rPr>
                        <w:color w:val="FFFFFF"/>
                        <w:w w:val="90"/>
                        <w:sz w:val="20"/>
                      </w:rPr>
                      <w:t>20.7</w:t>
                    </w:r>
                  </w:p>
                </w:txbxContent>
              </v:textbox>
              <w10:wrap type="none"/>
            </v:shape>
            <v:shape style="position:absolute;left:4394;top:1138;width:360;height:385" type="#_x0000_t202" filled="false" stroked="false">
              <v:textbox inset="0,0,0,0">
                <w:txbxContent>
                  <w:p>
                    <w:pPr>
                      <w:spacing w:line="184" w:lineRule="exact" w:before="0"/>
                      <w:ind w:left="50" w:right="0" w:firstLine="0"/>
                      <w:jc w:val="left"/>
                      <w:rPr>
                        <w:sz w:val="20"/>
                      </w:rPr>
                    </w:pPr>
                    <w:r>
                      <w:rPr>
                        <w:w w:val="95"/>
                        <w:sz w:val="20"/>
                      </w:rPr>
                      <w:t>0.0</w:t>
                    </w:r>
                  </w:p>
                  <w:p>
                    <w:pPr>
                      <w:spacing w:line="200" w:lineRule="exact" w:before="0"/>
                      <w:ind w:left="0" w:right="0" w:firstLine="0"/>
                      <w:jc w:val="left"/>
                      <w:rPr>
                        <w:sz w:val="20"/>
                      </w:rPr>
                    </w:pPr>
                    <w:r>
                      <w:rPr>
                        <w:color w:val="FFFFFF"/>
                        <w:w w:val="90"/>
                        <w:sz w:val="20"/>
                      </w:rPr>
                      <w:t>14.3</w:t>
                    </w:r>
                  </w:p>
                </w:txbxContent>
              </v:textbox>
              <w10:wrap type="none"/>
            </v:shape>
            <v:shape style="position:absolute;left:3352;top:1181;width:260;height:200" type="#_x0000_t202" filled="false" stroked="false">
              <v:textbox inset="0,0,0,0">
                <w:txbxContent>
                  <w:p>
                    <w:pPr>
                      <w:spacing w:line="199" w:lineRule="exact" w:before="0"/>
                      <w:ind w:left="0" w:right="0" w:firstLine="0"/>
                      <w:jc w:val="left"/>
                      <w:rPr>
                        <w:sz w:val="20"/>
                      </w:rPr>
                    </w:pPr>
                    <w:r>
                      <w:rPr>
                        <w:w w:val="90"/>
                        <w:sz w:val="20"/>
                      </w:rPr>
                      <w:t>3.3</w:t>
                    </w:r>
                  </w:p>
                </w:txbxContent>
              </v:textbox>
              <w10:wrap type="none"/>
            </v:shape>
            <v:shape style="position:absolute;left:3352;top:1310;width:260;height:200" type="#_x0000_t202" filled="false" stroked="false">
              <v:textbox inset="0,0,0,0">
                <w:txbxContent>
                  <w:p>
                    <w:pPr>
                      <w:spacing w:line="199" w:lineRule="exact" w:before="0"/>
                      <w:ind w:left="0" w:right="0" w:firstLine="0"/>
                      <w:jc w:val="left"/>
                      <w:rPr>
                        <w:sz w:val="20"/>
                      </w:rPr>
                    </w:pPr>
                    <w:r>
                      <w:rPr>
                        <w:color w:val="FFFFFF"/>
                        <w:w w:val="90"/>
                        <w:sz w:val="20"/>
                      </w:rPr>
                      <w:t>6.7</w:t>
                    </w:r>
                  </w:p>
                </w:txbxContent>
              </v:textbox>
              <w10:wrap type="none"/>
            </v:shape>
            <v:shape style="position:absolute;left:5539;top:471;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地区別</w:t>
                    </w:r>
                    <w:r>
                      <w:rPr>
                        <w:rFonts w:ascii="Heiti SC" w:eastAsia="Heiti SC" w:hint="eastAsia"/>
                        <w:b/>
                        <w:w w:val="80"/>
                        <w:sz w:val="23"/>
                      </w:rPr>
                      <w:t>）</w:t>
                    </w:r>
                  </w:p>
                </w:txbxContent>
              </v:textbox>
              <w10:wrap type="none"/>
            </v:shape>
            <w10:wrap type="topAndBottom"/>
          </v:group>
        </w:pict>
      </w:r>
    </w:p>
    <w:p>
      <w:pPr>
        <w:spacing w:after="0"/>
        <w:rPr>
          <w:sz w:val="20"/>
        </w:rPr>
        <w:sectPr>
          <w:type w:val="continuous"/>
          <w:pgSz w:w="11900" w:h="16840"/>
          <w:pgMar w:top="1600" w:bottom="960" w:left="1020" w:right="1020"/>
        </w:sectPr>
      </w:pPr>
    </w:p>
    <w:p>
      <w:pPr>
        <w:pStyle w:val="Heading1"/>
        <w:tabs>
          <w:tab w:pos="1363" w:val="left" w:leader="none"/>
        </w:tabs>
        <w:spacing w:before="148"/>
        <w:ind w:left="643"/>
        <w:rPr>
          <w:u w:val="none"/>
        </w:rPr>
      </w:pPr>
      <w:r>
        <w:rPr>
          <w:w w:val="105"/>
          <w:u w:val="single"/>
        </w:rPr>
        <w:t>表３</w:t>
        <w:tab/>
      </w:r>
      <w:r>
        <w:rPr>
          <w:u w:val="single"/>
        </w:rPr>
        <w:t>東日本大震災からの景気の回復程度（分野別）</w:t>
      </w:r>
    </w:p>
    <w:p>
      <w:pPr>
        <w:pStyle w:val="BodyText"/>
        <w:rPr>
          <w:sz w:val="20"/>
        </w:rPr>
      </w:pPr>
      <w:r>
        <w:rPr/>
        <w:br w:type="column"/>
      </w:r>
      <w:r>
        <w:rPr>
          <w:sz w:val="20"/>
        </w:rPr>
      </w:r>
    </w:p>
    <w:p>
      <w:pPr>
        <w:pStyle w:val="BodyText"/>
        <w:spacing w:before="5"/>
        <w:rPr>
          <w:sz w:val="16"/>
        </w:rPr>
      </w:pPr>
    </w:p>
    <w:p>
      <w:pPr>
        <w:spacing w:before="0"/>
        <w:ind w:left="643" w:right="0" w:firstLine="0"/>
        <w:jc w:val="left"/>
        <w:rPr>
          <w:sz w:val="20"/>
        </w:rPr>
      </w:pPr>
      <w:r>
        <w:rPr>
          <w:w w:val="75"/>
          <w:sz w:val="20"/>
        </w:rPr>
        <w:t>（％）</w:t>
      </w:r>
    </w:p>
    <w:p>
      <w:pPr>
        <w:spacing w:after="0"/>
        <w:jc w:val="left"/>
        <w:rPr>
          <w:sz w:val="20"/>
        </w:rPr>
        <w:sectPr>
          <w:footerReference w:type="default" r:id="rId8"/>
          <w:pgSz w:w="11900" w:h="16840"/>
          <w:pgMar w:footer="793" w:header="0" w:top="1600" w:bottom="980" w:left="1020" w:right="1020"/>
          <w:pgNumType w:start="31"/>
          <w:cols w:num="2" w:equalWidth="0">
            <w:col w:w="6441" w:space="2124"/>
            <w:col w:w="1295"/>
          </w:cols>
        </w:sectPr>
      </w:pPr>
    </w:p>
    <w:p>
      <w:pPr>
        <w:pStyle w:val="BodyText"/>
        <w:rPr>
          <w:sz w:val="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96</w:t>
            </w:r>
          </w:p>
        </w:tc>
        <w:tc>
          <w:tcPr>
            <w:tcW w:w="1726" w:type="dxa"/>
            <w:shd w:val="clear" w:color="auto" w:fill="CCFFCC"/>
          </w:tcPr>
          <w:p>
            <w:pPr>
              <w:pStyle w:val="TableParagraph"/>
              <w:spacing w:line="202" w:lineRule="exact" w:before="8"/>
              <w:ind w:left="373" w:right="340" w:firstLine="151"/>
              <w:rPr>
                <w:rFonts w:ascii="Apple SD Gothic Neo" w:eastAsia="Apple SD Gothic Neo" w:hint="eastAsia"/>
                <w:b/>
                <w:sz w:val="17"/>
              </w:rPr>
            </w:pPr>
            <w:r>
              <w:rPr>
                <w:rFonts w:ascii="Apple SD Gothic Neo" w:eastAsia="Apple SD Gothic Neo" w:hint="eastAsia"/>
                <w:b/>
                <w:w w:val="115"/>
                <w:sz w:val="17"/>
              </w:rPr>
              <w:t>震 災 前 を </w:t>
            </w:r>
            <w:r>
              <w:rPr>
                <w:rFonts w:ascii="Apple SD Gothic Neo" w:eastAsia="Apple SD Gothic Neo" w:hint="eastAsia"/>
                <w:b/>
                <w:w w:val="110"/>
                <w:sz w:val="17"/>
              </w:rPr>
              <w:t>上回っている</w:t>
            </w:r>
          </w:p>
        </w:tc>
        <w:tc>
          <w:tcPr>
            <w:tcW w:w="1546" w:type="dxa"/>
            <w:shd w:val="clear" w:color="auto" w:fill="CCFFCC"/>
          </w:tcPr>
          <w:p>
            <w:pPr>
              <w:pStyle w:val="TableParagraph"/>
              <w:spacing w:line="198" w:lineRule="exact"/>
              <w:ind w:left="79" w:right="48"/>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1" w:lineRule="exact"/>
              <w:ind w:left="79" w:right="52"/>
              <w:jc w:val="center"/>
              <w:rPr>
                <w:rFonts w:ascii="Apple SD Gothic Neo" w:eastAsia="Apple SD Gothic Neo" w:hint="eastAsia"/>
                <w:b/>
                <w:sz w:val="17"/>
              </w:rPr>
            </w:pPr>
            <w:r>
              <w:rPr>
                <w:rFonts w:ascii="Apple SD Gothic Neo" w:eastAsia="Apple SD Gothic Neo" w:hint="eastAsia"/>
                <w:b/>
                <w:w w:val="115"/>
                <w:sz w:val="17"/>
              </w:rPr>
              <w:t>やや上回っている</w:t>
            </w:r>
          </w:p>
        </w:tc>
        <w:tc>
          <w:tcPr>
            <w:tcW w:w="1546" w:type="dxa"/>
            <w:shd w:val="clear" w:color="auto" w:fill="CCFFCC"/>
          </w:tcPr>
          <w:p>
            <w:pPr>
              <w:pStyle w:val="TableParagraph"/>
              <w:spacing w:before="74"/>
              <w:ind w:right="143"/>
              <w:jc w:val="right"/>
              <w:rPr>
                <w:rFonts w:ascii="Apple SD Gothic Neo" w:eastAsia="Apple SD Gothic Neo" w:hint="eastAsia"/>
                <w:b/>
                <w:sz w:val="17"/>
              </w:rPr>
            </w:pPr>
            <w:r>
              <w:rPr>
                <w:rFonts w:ascii="Apple SD Gothic Neo" w:eastAsia="Apple SD Gothic Neo" w:hint="eastAsia"/>
                <w:b/>
                <w:w w:val="115"/>
                <w:sz w:val="17"/>
              </w:rPr>
              <w:t>震災前</w:t>
            </w:r>
            <w:r>
              <w:rPr>
                <w:rFonts w:ascii="Apple SD Gothic Neo" w:eastAsia="Apple SD Gothic Neo" w:hint="eastAsia"/>
                <w:b/>
                <w:w w:val="105"/>
                <w:sz w:val="17"/>
              </w:rPr>
              <w:t>と</w:t>
            </w:r>
            <w:r>
              <w:rPr>
                <w:rFonts w:ascii="Apple SD Gothic Neo" w:eastAsia="Apple SD Gothic Neo" w:hint="eastAsia"/>
                <w:b/>
                <w:w w:val="115"/>
                <w:sz w:val="17"/>
              </w:rPr>
              <w:t>同程度</w:t>
            </w:r>
          </w:p>
        </w:tc>
        <w:tc>
          <w:tcPr>
            <w:tcW w:w="1546" w:type="dxa"/>
            <w:shd w:val="clear" w:color="auto" w:fill="CCFFCC"/>
          </w:tcPr>
          <w:p>
            <w:pPr>
              <w:pStyle w:val="TableParagraph"/>
              <w:spacing w:line="198" w:lineRule="exact"/>
              <w:ind w:left="79" w:right="50"/>
              <w:jc w:val="center"/>
              <w:rPr>
                <w:rFonts w:ascii="Apple SD Gothic Neo" w:eastAsia="Apple SD Gothic Neo" w:hint="eastAsia"/>
                <w:b/>
                <w:sz w:val="17"/>
              </w:rPr>
            </w:pPr>
            <w:r>
              <w:rPr>
                <w:rFonts w:ascii="Apple SD Gothic Neo" w:eastAsia="Apple SD Gothic Neo" w:hint="eastAsia"/>
                <w:b/>
                <w:w w:val="115"/>
                <w:sz w:val="17"/>
              </w:rPr>
              <w:t>震災前を</w:t>
            </w:r>
          </w:p>
          <w:p>
            <w:pPr>
              <w:pStyle w:val="TableParagraph"/>
              <w:spacing w:line="191" w:lineRule="exact"/>
              <w:ind w:left="78" w:right="53"/>
              <w:jc w:val="center"/>
              <w:rPr>
                <w:rFonts w:ascii="Apple SD Gothic Neo" w:eastAsia="Apple SD Gothic Neo" w:hint="eastAsia"/>
                <w:b/>
                <w:sz w:val="17"/>
              </w:rPr>
            </w:pPr>
            <w:r>
              <w:rPr>
                <w:rFonts w:ascii="Apple SD Gothic Neo" w:eastAsia="Apple SD Gothic Neo" w:hint="eastAsia"/>
                <w:b/>
                <w:w w:val="115"/>
                <w:sz w:val="17"/>
              </w:rPr>
              <w:t>やや下回っている</w:t>
            </w:r>
          </w:p>
        </w:tc>
        <w:tc>
          <w:tcPr>
            <w:tcW w:w="1546" w:type="dxa"/>
            <w:shd w:val="clear" w:color="auto" w:fill="CCFFCC"/>
          </w:tcPr>
          <w:p>
            <w:pPr>
              <w:pStyle w:val="TableParagraph"/>
              <w:spacing w:line="202" w:lineRule="exact" w:before="8"/>
              <w:ind w:left="280" w:right="253" w:firstLine="151"/>
              <w:rPr>
                <w:rFonts w:ascii="Apple SD Gothic Neo" w:eastAsia="Apple SD Gothic Neo" w:hint="eastAsia"/>
                <w:b/>
                <w:sz w:val="17"/>
              </w:rPr>
            </w:pPr>
            <w:r>
              <w:rPr>
                <w:rFonts w:ascii="Apple SD Gothic Neo" w:eastAsia="Apple SD Gothic Neo" w:hint="eastAsia"/>
                <w:b/>
                <w:w w:val="115"/>
                <w:sz w:val="17"/>
              </w:rPr>
              <w:t>震 災 前 を </w:t>
            </w:r>
            <w:r>
              <w:rPr>
                <w:rFonts w:ascii="Apple SD Gothic Neo" w:eastAsia="Apple SD Gothic Neo" w:hint="eastAsia"/>
                <w:b/>
                <w:w w:val="110"/>
                <w:sz w:val="17"/>
              </w:rPr>
              <w:t>下回っている</w:t>
            </w:r>
          </w:p>
        </w:tc>
      </w:tr>
      <w:tr>
        <w:trPr>
          <w:trHeight w:val="246" w:hRule="atLeast"/>
        </w:trPr>
        <w:tc>
          <w:tcPr>
            <w:tcW w:w="1616" w:type="dxa"/>
            <w:gridSpan w:val="2"/>
            <w:shd w:val="clear" w:color="auto" w:fill="CCFFCC"/>
          </w:tcPr>
          <w:p>
            <w:pPr>
              <w:pStyle w:val="TableParagraph"/>
              <w:tabs>
                <w:tab w:pos="1057" w:val="left" w:leader="none"/>
              </w:tabs>
              <w:spacing w:line="226" w:lineRule="exact"/>
              <w:ind w:left="330"/>
              <w:rPr>
                <w:rFonts w:ascii="Heiti SC" w:eastAsia="Heiti SC" w:hint="eastAsia"/>
                <w:b/>
                <w:sz w:val="23"/>
              </w:rPr>
            </w:pPr>
            <w:r>
              <w:rPr>
                <w:rFonts w:ascii="Heiti SC" w:eastAsia="Heiti SC" w:hint="eastAsia"/>
                <w:b/>
                <w:w w:val="105"/>
                <w:sz w:val="23"/>
              </w:rPr>
              <w:t>合</w:t>
              <w:tab/>
              <w:t>計</w:t>
            </w:r>
          </w:p>
        </w:tc>
        <w:tc>
          <w:tcPr>
            <w:tcW w:w="1726" w:type="dxa"/>
          </w:tcPr>
          <w:p>
            <w:pPr>
              <w:pStyle w:val="TableParagraph"/>
              <w:spacing w:line="226" w:lineRule="exact"/>
              <w:ind w:right="153"/>
              <w:jc w:val="right"/>
              <w:rPr>
                <w:rFonts w:ascii="Heiti SC"/>
                <w:b/>
                <w:sz w:val="23"/>
              </w:rPr>
            </w:pPr>
            <w:r>
              <w:rPr>
                <w:rFonts w:ascii="Heiti SC"/>
                <w:b/>
                <w:w w:val="125"/>
                <w:sz w:val="23"/>
              </w:rPr>
              <w:t>3.1</w:t>
            </w:r>
          </w:p>
        </w:tc>
        <w:tc>
          <w:tcPr>
            <w:tcW w:w="1546" w:type="dxa"/>
          </w:tcPr>
          <w:p>
            <w:pPr>
              <w:pStyle w:val="TableParagraph"/>
              <w:spacing w:line="226" w:lineRule="exact"/>
              <w:ind w:right="157"/>
              <w:jc w:val="right"/>
              <w:rPr>
                <w:rFonts w:ascii="Heiti SC"/>
                <w:b/>
                <w:sz w:val="23"/>
              </w:rPr>
            </w:pPr>
            <w:r>
              <w:rPr>
                <w:rFonts w:ascii="Heiti SC"/>
                <w:b/>
                <w:w w:val="115"/>
                <w:sz w:val="23"/>
              </w:rPr>
              <w:t>12.5</w:t>
            </w:r>
          </w:p>
        </w:tc>
        <w:tc>
          <w:tcPr>
            <w:tcW w:w="1546" w:type="dxa"/>
          </w:tcPr>
          <w:p>
            <w:pPr>
              <w:pStyle w:val="TableParagraph"/>
              <w:spacing w:line="226" w:lineRule="exact"/>
              <w:ind w:right="157"/>
              <w:jc w:val="right"/>
              <w:rPr>
                <w:rFonts w:ascii="Heiti SC"/>
                <w:b/>
                <w:sz w:val="23"/>
              </w:rPr>
            </w:pPr>
            <w:r>
              <w:rPr>
                <w:rFonts w:ascii="Heiti SC"/>
                <w:b/>
                <w:w w:val="115"/>
                <w:sz w:val="23"/>
              </w:rPr>
              <w:t>27.1</w:t>
            </w:r>
          </w:p>
        </w:tc>
        <w:tc>
          <w:tcPr>
            <w:tcW w:w="1546" w:type="dxa"/>
          </w:tcPr>
          <w:p>
            <w:pPr>
              <w:pStyle w:val="TableParagraph"/>
              <w:spacing w:line="226" w:lineRule="exact"/>
              <w:ind w:right="158"/>
              <w:jc w:val="right"/>
              <w:rPr>
                <w:rFonts w:ascii="Heiti SC"/>
                <w:b/>
                <w:sz w:val="23"/>
              </w:rPr>
            </w:pPr>
            <w:r>
              <w:rPr>
                <w:rFonts w:ascii="Heiti SC"/>
                <w:b/>
                <w:w w:val="115"/>
                <w:sz w:val="23"/>
              </w:rPr>
              <w:t>33.3</w:t>
            </w:r>
          </w:p>
        </w:tc>
        <w:tc>
          <w:tcPr>
            <w:tcW w:w="1546" w:type="dxa"/>
          </w:tcPr>
          <w:p>
            <w:pPr>
              <w:pStyle w:val="TableParagraph"/>
              <w:spacing w:line="226" w:lineRule="exact"/>
              <w:ind w:right="158"/>
              <w:jc w:val="right"/>
              <w:rPr>
                <w:rFonts w:ascii="Heiti SC"/>
                <w:b/>
                <w:sz w:val="23"/>
              </w:rPr>
            </w:pPr>
            <w:r>
              <w:rPr>
                <w:rFonts w:ascii="Heiti SC"/>
                <w:b/>
                <w:w w:val="115"/>
                <w:sz w:val="23"/>
              </w:rPr>
              <w:t>24.0</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726" w:type="dxa"/>
          </w:tcPr>
          <w:p>
            <w:pPr>
              <w:pStyle w:val="TableParagraph"/>
              <w:spacing w:line="229" w:lineRule="exact"/>
              <w:ind w:right="143"/>
              <w:jc w:val="right"/>
              <w:rPr>
                <w:sz w:val="23"/>
              </w:rPr>
            </w:pPr>
            <w:r>
              <w:rPr>
                <w:w w:val="92"/>
                <w:sz w:val="23"/>
              </w:rPr>
              <w:t>4</w:t>
            </w:r>
            <w:r>
              <w:rPr>
                <w:w w:val="185"/>
                <w:sz w:val="23"/>
              </w:rPr>
              <w:t>.</w:t>
            </w:r>
            <w:r>
              <w:rPr>
                <w:w w:val="92"/>
                <w:sz w:val="23"/>
              </w:rPr>
              <w:t>2</w:t>
            </w:r>
          </w:p>
        </w:tc>
        <w:tc>
          <w:tcPr>
            <w:tcW w:w="1546" w:type="dxa"/>
          </w:tcPr>
          <w:p>
            <w:pPr>
              <w:pStyle w:val="TableParagraph"/>
              <w:spacing w:line="229" w:lineRule="exact"/>
              <w:ind w:right="144"/>
              <w:jc w:val="right"/>
              <w:rPr>
                <w:sz w:val="23"/>
              </w:rPr>
            </w:pPr>
            <w:r>
              <w:rPr>
                <w:w w:val="92"/>
                <w:sz w:val="23"/>
              </w:rPr>
              <w:t>9</w:t>
            </w:r>
            <w:r>
              <w:rPr>
                <w:w w:val="185"/>
                <w:sz w:val="23"/>
              </w:rPr>
              <w:t>.</w:t>
            </w:r>
            <w:r>
              <w:rPr>
                <w:w w:val="92"/>
                <w:sz w:val="23"/>
              </w:rPr>
              <w:t>9</w:t>
            </w:r>
          </w:p>
        </w:tc>
        <w:tc>
          <w:tcPr>
            <w:tcW w:w="1546" w:type="dxa"/>
          </w:tcPr>
          <w:p>
            <w:pPr>
              <w:pStyle w:val="TableParagraph"/>
              <w:spacing w:line="229" w:lineRule="exact"/>
              <w:ind w:right="145"/>
              <w:jc w:val="right"/>
              <w:rPr>
                <w:sz w:val="23"/>
              </w:rPr>
            </w:pPr>
            <w:r>
              <w:rPr>
                <w:w w:val="92"/>
                <w:sz w:val="23"/>
              </w:rPr>
              <w:t>29</w:t>
            </w:r>
            <w:r>
              <w:rPr>
                <w:w w:val="185"/>
                <w:sz w:val="23"/>
              </w:rPr>
              <w:t>.</w:t>
            </w:r>
            <w:r>
              <w:rPr>
                <w:w w:val="92"/>
                <w:sz w:val="23"/>
              </w:rPr>
              <w:t>6</w:t>
            </w:r>
          </w:p>
        </w:tc>
        <w:tc>
          <w:tcPr>
            <w:tcW w:w="1546" w:type="dxa"/>
          </w:tcPr>
          <w:p>
            <w:pPr>
              <w:pStyle w:val="TableParagraph"/>
              <w:spacing w:line="229" w:lineRule="exact"/>
              <w:ind w:right="146"/>
              <w:jc w:val="right"/>
              <w:rPr>
                <w:sz w:val="23"/>
              </w:rPr>
            </w:pPr>
            <w:r>
              <w:rPr>
                <w:w w:val="92"/>
                <w:sz w:val="23"/>
              </w:rPr>
              <w:t>35</w:t>
            </w:r>
            <w:r>
              <w:rPr>
                <w:w w:val="185"/>
                <w:sz w:val="23"/>
              </w:rPr>
              <w:t>.</w:t>
            </w:r>
            <w:r>
              <w:rPr>
                <w:w w:val="92"/>
                <w:sz w:val="23"/>
              </w:rPr>
              <w:t>2</w:t>
            </w:r>
          </w:p>
        </w:tc>
        <w:tc>
          <w:tcPr>
            <w:tcW w:w="1546" w:type="dxa"/>
          </w:tcPr>
          <w:p>
            <w:pPr>
              <w:pStyle w:val="TableParagraph"/>
              <w:spacing w:line="229" w:lineRule="exact"/>
              <w:ind w:right="146"/>
              <w:jc w:val="right"/>
              <w:rPr>
                <w:sz w:val="23"/>
              </w:rPr>
            </w:pPr>
            <w:r>
              <w:rPr>
                <w:w w:val="92"/>
                <w:sz w:val="23"/>
              </w:rPr>
              <w:t>21</w:t>
            </w:r>
            <w:r>
              <w:rPr>
                <w:w w:val="185"/>
                <w:sz w:val="23"/>
              </w:rPr>
              <w:t>.</w:t>
            </w:r>
            <w:r>
              <w:rPr>
                <w:w w:val="92"/>
                <w:sz w:val="23"/>
              </w:rPr>
              <w:t>1</w:t>
            </w:r>
          </w:p>
        </w:tc>
      </w:tr>
      <w:tr>
        <w:trPr>
          <w:trHeight w:val="248" w:hRule="atLeast"/>
        </w:trPr>
        <w:tc>
          <w:tcPr>
            <w:tcW w:w="497" w:type="dxa"/>
            <w:vMerge w:val="restart"/>
            <w:tcBorders>
              <w:top w:val="nil"/>
            </w:tcBorders>
            <w:shd w:val="clear" w:color="auto" w:fill="CCFFCC"/>
          </w:tcPr>
          <w:p>
            <w:pPr>
              <w:pStyle w:val="TableParagraph"/>
              <w:rPr>
                <w:rFonts w:ascii="Times New Roman"/>
                <w:sz w:val="20"/>
              </w:rPr>
            </w:pPr>
          </w:p>
        </w:tc>
        <w:tc>
          <w:tcPr>
            <w:tcW w:w="1119" w:type="dxa"/>
            <w:tcBorders>
              <w:bottom w:val="dashSmallGap" w:sz="8" w:space="0" w:color="000000"/>
            </w:tcBorders>
            <w:shd w:val="clear" w:color="auto" w:fill="CCFFCC"/>
          </w:tcPr>
          <w:p>
            <w:pPr>
              <w:pStyle w:val="TableParagraph"/>
              <w:spacing w:line="229" w:lineRule="exact"/>
              <w:ind w:left="37"/>
              <w:rPr>
                <w:sz w:val="22"/>
              </w:rPr>
            </w:pPr>
            <w:r>
              <w:rPr>
                <w:sz w:val="22"/>
              </w:rPr>
              <w:t>小売</w:t>
            </w:r>
          </w:p>
        </w:tc>
        <w:tc>
          <w:tcPr>
            <w:tcW w:w="1726" w:type="dxa"/>
            <w:tcBorders>
              <w:bottom w:val="dashSmallGap" w:sz="8" w:space="0" w:color="000000"/>
            </w:tcBorders>
          </w:tcPr>
          <w:p>
            <w:pPr>
              <w:pStyle w:val="TableParagraph"/>
              <w:spacing w:line="229" w:lineRule="exact"/>
              <w:ind w:right="145"/>
              <w:jc w:val="right"/>
              <w:rPr>
                <w:sz w:val="23"/>
              </w:rPr>
            </w:pPr>
            <w:r>
              <w:rPr>
                <w:w w:val="92"/>
                <w:sz w:val="23"/>
              </w:rPr>
              <w:t>11</w:t>
            </w:r>
            <w:r>
              <w:rPr>
                <w:w w:val="185"/>
                <w:sz w:val="23"/>
              </w:rPr>
              <w:t>.</w:t>
            </w:r>
            <w:r>
              <w:rPr>
                <w:w w:val="92"/>
                <w:sz w:val="23"/>
              </w:rPr>
              <w:t>1</w:t>
            </w:r>
          </w:p>
        </w:tc>
        <w:tc>
          <w:tcPr>
            <w:tcW w:w="1546" w:type="dxa"/>
            <w:tcBorders>
              <w:bottom w:val="dashSmallGap" w:sz="8" w:space="0" w:color="000000"/>
            </w:tcBorders>
          </w:tcPr>
          <w:p>
            <w:pPr>
              <w:pStyle w:val="TableParagraph"/>
              <w:spacing w:line="229" w:lineRule="exact"/>
              <w:ind w:right="145"/>
              <w:jc w:val="right"/>
              <w:rPr>
                <w:sz w:val="23"/>
              </w:rPr>
            </w:pPr>
            <w:r>
              <w:rPr>
                <w:w w:val="92"/>
                <w:sz w:val="23"/>
              </w:rPr>
              <w:t>11</w:t>
            </w:r>
            <w:r>
              <w:rPr>
                <w:w w:val="185"/>
                <w:sz w:val="23"/>
              </w:rPr>
              <w:t>.</w:t>
            </w:r>
            <w:r>
              <w:rPr>
                <w:w w:val="92"/>
                <w:sz w:val="23"/>
              </w:rPr>
              <w:t>1</w:t>
            </w:r>
          </w:p>
        </w:tc>
        <w:tc>
          <w:tcPr>
            <w:tcW w:w="1546" w:type="dxa"/>
            <w:tcBorders>
              <w:bottom w:val="dashSmallGap" w:sz="8" w:space="0" w:color="000000"/>
            </w:tcBorders>
          </w:tcPr>
          <w:p>
            <w:pPr>
              <w:pStyle w:val="TableParagraph"/>
              <w:spacing w:line="229" w:lineRule="exact"/>
              <w:ind w:right="145"/>
              <w:jc w:val="right"/>
              <w:rPr>
                <w:sz w:val="23"/>
              </w:rPr>
            </w:pPr>
            <w:r>
              <w:rPr>
                <w:w w:val="92"/>
                <w:sz w:val="23"/>
              </w:rPr>
              <w:t>22</w:t>
            </w:r>
            <w:r>
              <w:rPr>
                <w:w w:val="185"/>
                <w:sz w:val="23"/>
              </w:rPr>
              <w:t>.</w:t>
            </w:r>
            <w:r>
              <w:rPr>
                <w:w w:val="92"/>
                <w:sz w:val="23"/>
              </w:rPr>
              <w:t>2</w:t>
            </w:r>
          </w:p>
        </w:tc>
        <w:tc>
          <w:tcPr>
            <w:tcW w:w="1546" w:type="dxa"/>
            <w:tcBorders>
              <w:bottom w:val="dashSmallGap" w:sz="8" w:space="0" w:color="000000"/>
            </w:tcBorders>
          </w:tcPr>
          <w:p>
            <w:pPr>
              <w:pStyle w:val="TableParagraph"/>
              <w:spacing w:line="229" w:lineRule="exact"/>
              <w:ind w:right="146"/>
              <w:jc w:val="right"/>
              <w:rPr>
                <w:sz w:val="23"/>
              </w:rPr>
            </w:pPr>
            <w:r>
              <w:rPr>
                <w:w w:val="92"/>
                <w:sz w:val="23"/>
              </w:rPr>
              <w:t>37</w:t>
            </w:r>
            <w:r>
              <w:rPr>
                <w:w w:val="185"/>
                <w:sz w:val="23"/>
              </w:rPr>
              <w:t>.</w:t>
            </w:r>
            <w:r>
              <w:rPr>
                <w:w w:val="92"/>
                <w:sz w:val="23"/>
              </w:rPr>
              <w:t>0</w:t>
            </w:r>
          </w:p>
        </w:tc>
        <w:tc>
          <w:tcPr>
            <w:tcW w:w="1546" w:type="dxa"/>
            <w:tcBorders>
              <w:bottom w:val="dashSmallGap" w:sz="8" w:space="0" w:color="000000"/>
            </w:tcBorders>
          </w:tcPr>
          <w:p>
            <w:pPr>
              <w:pStyle w:val="TableParagraph"/>
              <w:spacing w:line="229" w:lineRule="exact"/>
              <w:ind w:right="146"/>
              <w:jc w:val="right"/>
              <w:rPr>
                <w:sz w:val="23"/>
              </w:rPr>
            </w:pPr>
            <w:r>
              <w:rPr>
                <w:w w:val="92"/>
                <w:sz w:val="23"/>
              </w:rPr>
              <w:t>18</w:t>
            </w:r>
            <w:r>
              <w:rPr>
                <w:w w:val="185"/>
                <w:sz w:val="23"/>
              </w:rPr>
              <w:t>.</w:t>
            </w:r>
            <w:r>
              <w:rPr>
                <w:w w:val="92"/>
                <w:sz w:val="23"/>
              </w:rPr>
              <w:t>5</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spacing w:line="229" w:lineRule="exact"/>
              <w:ind w:left="37"/>
              <w:rPr>
                <w:sz w:val="22"/>
              </w:rPr>
            </w:pPr>
            <w:r>
              <w:rPr>
                <w:sz w:val="22"/>
              </w:rPr>
              <w:t>飲食</w:t>
            </w:r>
          </w:p>
        </w:tc>
        <w:tc>
          <w:tcPr>
            <w:tcW w:w="1726" w:type="dxa"/>
            <w:tcBorders>
              <w:top w:val="dashSmallGap" w:sz="8" w:space="0" w:color="000000"/>
              <w:bottom w:val="dashSmallGap" w:sz="8" w:space="0" w:color="000000"/>
            </w:tcBorders>
          </w:tcPr>
          <w:p>
            <w:pPr>
              <w:pStyle w:val="TableParagraph"/>
              <w:spacing w:line="229" w:lineRule="exact"/>
              <w:ind w:right="143"/>
              <w:jc w:val="right"/>
              <w:rPr>
                <w:sz w:val="23"/>
              </w:rPr>
            </w:pPr>
            <w:r>
              <w:rPr>
                <w:w w:val="92"/>
                <w:sz w:val="23"/>
              </w:rPr>
              <w:t>0</w:t>
            </w:r>
            <w:r>
              <w:rPr>
                <w:w w:val="185"/>
                <w:sz w:val="23"/>
              </w:rPr>
              <w:t>.</w:t>
            </w:r>
            <w:r>
              <w:rPr>
                <w:w w:val="92"/>
                <w:sz w:val="23"/>
              </w:rPr>
              <w:t>0</w:t>
            </w:r>
          </w:p>
        </w:tc>
        <w:tc>
          <w:tcPr>
            <w:tcW w:w="1546" w:type="dxa"/>
            <w:tcBorders>
              <w:top w:val="dashSmallGap" w:sz="8" w:space="0" w:color="000000"/>
              <w:bottom w:val="dashSmallGap" w:sz="8" w:space="0" w:color="000000"/>
            </w:tcBorders>
          </w:tcPr>
          <w:p>
            <w:pPr>
              <w:pStyle w:val="TableParagraph"/>
              <w:spacing w:line="229" w:lineRule="exact"/>
              <w:ind w:right="145"/>
              <w:jc w:val="right"/>
              <w:rPr>
                <w:sz w:val="23"/>
              </w:rPr>
            </w:pPr>
            <w:r>
              <w:rPr>
                <w:w w:val="92"/>
                <w:sz w:val="23"/>
              </w:rPr>
              <w:t>18</w:t>
            </w:r>
            <w:r>
              <w:rPr>
                <w:w w:val="185"/>
                <w:sz w:val="23"/>
              </w:rPr>
              <w:t>.</w:t>
            </w:r>
            <w:r>
              <w:rPr>
                <w:w w:val="92"/>
                <w:sz w:val="23"/>
              </w:rPr>
              <w:t>2</w:t>
            </w:r>
          </w:p>
        </w:tc>
        <w:tc>
          <w:tcPr>
            <w:tcW w:w="1546" w:type="dxa"/>
            <w:tcBorders>
              <w:top w:val="dashSmallGap" w:sz="8" w:space="0" w:color="000000"/>
              <w:bottom w:val="dashSmallGap" w:sz="8" w:space="0" w:color="000000"/>
            </w:tcBorders>
          </w:tcPr>
          <w:p>
            <w:pPr>
              <w:pStyle w:val="TableParagraph"/>
              <w:spacing w:line="229" w:lineRule="exact"/>
              <w:ind w:right="145"/>
              <w:jc w:val="right"/>
              <w:rPr>
                <w:sz w:val="23"/>
              </w:rPr>
            </w:pPr>
            <w:r>
              <w:rPr>
                <w:w w:val="92"/>
                <w:sz w:val="23"/>
              </w:rPr>
              <w:t>27</w:t>
            </w:r>
            <w:r>
              <w:rPr>
                <w:w w:val="185"/>
                <w:sz w:val="23"/>
              </w:rPr>
              <w:t>.</w:t>
            </w:r>
            <w:r>
              <w:rPr>
                <w:w w:val="92"/>
                <w:sz w:val="23"/>
              </w:rPr>
              <w:t>3</w:t>
            </w:r>
          </w:p>
        </w:tc>
        <w:tc>
          <w:tcPr>
            <w:tcW w:w="1546" w:type="dxa"/>
            <w:tcBorders>
              <w:top w:val="dashSmallGap" w:sz="8" w:space="0" w:color="000000"/>
              <w:bottom w:val="dashSmallGap" w:sz="8" w:space="0" w:color="000000"/>
            </w:tcBorders>
          </w:tcPr>
          <w:p>
            <w:pPr>
              <w:pStyle w:val="TableParagraph"/>
              <w:spacing w:line="229" w:lineRule="exact"/>
              <w:ind w:right="146"/>
              <w:jc w:val="right"/>
              <w:rPr>
                <w:sz w:val="23"/>
              </w:rPr>
            </w:pPr>
            <w:r>
              <w:rPr>
                <w:w w:val="92"/>
                <w:sz w:val="23"/>
              </w:rPr>
              <w:t>36</w:t>
            </w:r>
            <w:r>
              <w:rPr>
                <w:w w:val="185"/>
                <w:sz w:val="23"/>
              </w:rPr>
              <w:t>.</w:t>
            </w:r>
            <w:r>
              <w:rPr>
                <w:w w:val="92"/>
                <w:sz w:val="23"/>
              </w:rPr>
              <w:t>4</w:t>
            </w:r>
          </w:p>
        </w:tc>
        <w:tc>
          <w:tcPr>
            <w:tcW w:w="1546" w:type="dxa"/>
            <w:tcBorders>
              <w:top w:val="dashSmallGap" w:sz="8" w:space="0" w:color="000000"/>
              <w:bottom w:val="dashSmallGap" w:sz="8" w:space="0" w:color="000000"/>
            </w:tcBorders>
          </w:tcPr>
          <w:p>
            <w:pPr>
              <w:pStyle w:val="TableParagraph"/>
              <w:spacing w:line="229" w:lineRule="exact"/>
              <w:ind w:right="146"/>
              <w:jc w:val="right"/>
              <w:rPr>
                <w:sz w:val="23"/>
              </w:rPr>
            </w:pPr>
            <w:r>
              <w:rPr>
                <w:w w:val="92"/>
                <w:sz w:val="23"/>
              </w:rPr>
              <w:t>18</w:t>
            </w:r>
            <w:r>
              <w:rPr>
                <w:w w:val="185"/>
                <w:sz w:val="23"/>
              </w:rPr>
              <w:t>.</w:t>
            </w:r>
            <w:r>
              <w:rPr>
                <w:w w:val="92"/>
                <w:sz w:val="23"/>
              </w:rPr>
              <w:t>2</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bottom w:val="dashSmallGap" w:sz="8" w:space="0" w:color="000000"/>
            </w:tcBorders>
            <w:shd w:val="clear" w:color="auto" w:fill="CCFFCC"/>
          </w:tcPr>
          <w:p>
            <w:pPr>
              <w:pStyle w:val="TableParagraph"/>
              <w:spacing w:line="229" w:lineRule="exact"/>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spacing w:line="229" w:lineRule="exact"/>
              <w:ind w:right="143"/>
              <w:jc w:val="right"/>
              <w:rPr>
                <w:sz w:val="23"/>
              </w:rPr>
            </w:pPr>
            <w:r>
              <w:rPr>
                <w:w w:val="92"/>
                <w:sz w:val="23"/>
              </w:rPr>
              <w:t>0</w:t>
            </w:r>
            <w:r>
              <w:rPr>
                <w:w w:val="185"/>
                <w:sz w:val="23"/>
              </w:rPr>
              <w:t>.</w:t>
            </w:r>
            <w:r>
              <w:rPr>
                <w:w w:val="92"/>
                <w:sz w:val="23"/>
              </w:rPr>
              <w:t>0</w:t>
            </w:r>
          </w:p>
        </w:tc>
        <w:tc>
          <w:tcPr>
            <w:tcW w:w="1546" w:type="dxa"/>
            <w:tcBorders>
              <w:top w:val="dashSmallGap" w:sz="8" w:space="0" w:color="000000"/>
              <w:bottom w:val="dashSmallGap" w:sz="8" w:space="0" w:color="000000"/>
            </w:tcBorders>
          </w:tcPr>
          <w:p>
            <w:pPr>
              <w:pStyle w:val="TableParagraph"/>
              <w:spacing w:line="229" w:lineRule="exact"/>
              <w:ind w:right="144"/>
              <w:jc w:val="right"/>
              <w:rPr>
                <w:sz w:val="23"/>
              </w:rPr>
            </w:pPr>
            <w:r>
              <w:rPr>
                <w:w w:val="92"/>
                <w:sz w:val="23"/>
              </w:rPr>
              <w:t>7</w:t>
            </w:r>
            <w:r>
              <w:rPr>
                <w:w w:val="185"/>
                <w:sz w:val="23"/>
              </w:rPr>
              <w:t>.</w:t>
            </w:r>
            <w:r>
              <w:rPr>
                <w:w w:val="92"/>
                <w:sz w:val="23"/>
              </w:rPr>
              <w:t>4</w:t>
            </w:r>
          </w:p>
        </w:tc>
        <w:tc>
          <w:tcPr>
            <w:tcW w:w="1546" w:type="dxa"/>
            <w:tcBorders>
              <w:top w:val="dashSmallGap" w:sz="8" w:space="0" w:color="000000"/>
              <w:bottom w:val="dashSmallGap" w:sz="8" w:space="0" w:color="000000"/>
            </w:tcBorders>
          </w:tcPr>
          <w:p>
            <w:pPr>
              <w:pStyle w:val="TableParagraph"/>
              <w:spacing w:line="229" w:lineRule="exact"/>
              <w:ind w:right="145"/>
              <w:jc w:val="right"/>
              <w:rPr>
                <w:sz w:val="23"/>
              </w:rPr>
            </w:pPr>
            <w:r>
              <w:rPr>
                <w:w w:val="92"/>
                <w:sz w:val="23"/>
              </w:rPr>
              <w:t>25</w:t>
            </w:r>
            <w:r>
              <w:rPr>
                <w:w w:val="185"/>
                <w:sz w:val="23"/>
              </w:rPr>
              <w:t>.</w:t>
            </w:r>
            <w:r>
              <w:rPr>
                <w:w w:val="92"/>
                <w:sz w:val="23"/>
              </w:rPr>
              <w:t>9</w:t>
            </w:r>
          </w:p>
        </w:tc>
        <w:tc>
          <w:tcPr>
            <w:tcW w:w="1546" w:type="dxa"/>
            <w:tcBorders>
              <w:top w:val="dashSmallGap" w:sz="8" w:space="0" w:color="000000"/>
              <w:bottom w:val="dashSmallGap" w:sz="8" w:space="0" w:color="000000"/>
            </w:tcBorders>
          </w:tcPr>
          <w:p>
            <w:pPr>
              <w:pStyle w:val="TableParagraph"/>
              <w:spacing w:line="229" w:lineRule="exact"/>
              <w:ind w:right="146"/>
              <w:jc w:val="right"/>
              <w:rPr>
                <w:sz w:val="23"/>
              </w:rPr>
            </w:pPr>
            <w:r>
              <w:rPr>
                <w:w w:val="92"/>
                <w:sz w:val="23"/>
              </w:rPr>
              <w:t>37</w:t>
            </w:r>
            <w:r>
              <w:rPr>
                <w:w w:val="185"/>
                <w:sz w:val="23"/>
              </w:rPr>
              <w:t>.</w:t>
            </w:r>
            <w:r>
              <w:rPr>
                <w:w w:val="92"/>
                <w:sz w:val="23"/>
              </w:rPr>
              <w:t>0</w:t>
            </w:r>
          </w:p>
        </w:tc>
        <w:tc>
          <w:tcPr>
            <w:tcW w:w="1546" w:type="dxa"/>
            <w:tcBorders>
              <w:top w:val="dashSmallGap" w:sz="8" w:space="0" w:color="000000"/>
              <w:bottom w:val="dashSmallGap" w:sz="8" w:space="0" w:color="000000"/>
            </w:tcBorders>
          </w:tcPr>
          <w:p>
            <w:pPr>
              <w:pStyle w:val="TableParagraph"/>
              <w:spacing w:line="229" w:lineRule="exact"/>
              <w:ind w:right="146"/>
              <w:jc w:val="right"/>
              <w:rPr>
                <w:sz w:val="23"/>
              </w:rPr>
            </w:pPr>
            <w:r>
              <w:rPr>
                <w:w w:val="92"/>
                <w:sz w:val="23"/>
              </w:rPr>
              <w:t>29</w:t>
            </w:r>
            <w:r>
              <w:rPr>
                <w:w w:val="185"/>
                <w:sz w:val="23"/>
              </w:rPr>
              <w:t>.</w:t>
            </w:r>
            <w:r>
              <w:rPr>
                <w:w w:val="92"/>
                <w:sz w:val="23"/>
              </w:rPr>
              <w:t>6</w:t>
            </w:r>
          </w:p>
        </w:tc>
      </w:tr>
      <w:tr>
        <w:trPr>
          <w:trHeight w:val="248" w:hRule="atLeast"/>
        </w:trPr>
        <w:tc>
          <w:tcPr>
            <w:tcW w:w="497" w:type="dxa"/>
            <w:vMerge/>
            <w:tcBorders>
              <w:top w:val="nil"/>
            </w:tcBorders>
            <w:shd w:val="clear" w:color="auto" w:fill="CCFFCC"/>
          </w:tcPr>
          <w:p>
            <w:pPr>
              <w:rPr>
                <w:sz w:val="2"/>
                <w:szCs w:val="2"/>
              </w:rPr>
            </w:pPr>
          </w:p>
        </w:tc>
        <w:tc>
          <w:tcPr>
            <w:tcW w:w="1119" w:type="dxa"/>
            <w:tcBorders>
              <w:top w:val="dashSmallGap" w:sz="8" w:space="0" w:color="000000"/>
            </w:tcBorders>
            <w:shd w:val="clear" w:color="auto" w:fill="CCFFCC"/>
          </w:tcPr>
          <w:p>
            <w:pPr>
              <w:pStyle w:val="TableParagraph"/>
              <w:spacing w:line="229" w:lineRule="exact"/>
              <w:ind w:left="37"/>
              <w:rPr>
                <w:sz w:val="22"/>
              </w:rPr>
            </w:pPr>
            <w:r>
              <w:rPr>
                <w:sz w:val="22"/>
              </w:rPr>
              <w:t>住宅</w:t>
            </w:r>
          </w:p>
        </w:tc>
        <w:tc>
          <w:tcPr>
            <w:tcW w:w="1726" w:type="dxa"/>
            <w:tcBorders>
              <w:top w:val="dashSmallGap" w:sz="8" w:space="0" w:color="000000"/>
            </w:tcBorders>
          </w:tcPr>
          <w:p>
            <w:pPr>
              <w:pStyle w:val="TableParagraph"/>
              <w:spacing w:line="229" w:lineRule="exact"/>
              <w:ind w:right="143"/>
              <w:jc w:val="right"/>
              <w:rPr>
                <w:sz w:val="23"/>
              </w:rPr>
            </w:pPr>
            <w:r>
              <w:rPr>
                <w:w w:val="92"/>
                <w:sz w:val="23"/>
              </w:rPr>
              <w:t>0</w:t>
            </w:r>
            <w:r>
              <w:rPr>
                <w:w w:val="185"/>
                <w:sz w:val="23"/>
              </w:rPr>
              <w:t>.</w:t>
            </w:r>
            <w:r>
              <w:rPr>
                <w:w w:val="92"/>
                <w:sz w:val="23"/>
              </w:rPr>
              <w:t>0</w:t>
            </w:r>
          </w:p>
        </w:tc>
        <w:tc>
          <w:tcPr>
            <w:tcW w:w="1546" w:type="dxa"/>
            <w:tcBorders>
              <w:top w:val="dashSmallGap" w:sz="8" w:space="0" w:color="000000"/>
            </w:tcBorders>
          </w:tcPr>
          <w:p>
            <w:pPr>
              <w:pStyle w:val="TableParagraph"/>
              <w:spacing w:line="229" w:lineRule="exact"/>
              <w:ind w:right="144"/>
              <w:jc w:val="right"/>
              <w:rPr>
                <w:sz w:val="23"/>
              </w:rPr>
            </w:pPr>
            <w:r>
              <w:rPr>
                <w:w w:val="92"/>
                <w:sz w:val="23"/>
              </w:rPr>
              <w:t>0</w:t>
            </w:r>
            <w:r>
              <w:rPr>
                <w:w w:val="185"/>
                <w:sz w:val="23"/>
              </w:rPr>
              <w:t>.</w:t>
            </w:r>
            <w:r>
              <w:rPr>
                <w:w w:val="92"/>
                <w:sz w:val="23"/>
              </w:rPr>
              <w:t>0</w:t>
            </w:r>
          </w:p>
        </w:tc>
        <w:tc>
          <w:tcPr>
            <w:tcW w:w="1546" w:type="dxa"/>
            <w:tcBorders>
              <w:top w:val="dashSmallGap" w:sz="8" w:space="0" w:color="000000"/>
            </w:tcBorders>
          </w:tcPr>
          <w:p>
            <w:pPr>
              <w:pStyle w:val="TableParagraph"/>
              <w:spacing w:line="229" w:lineRule="exact"/>
              <w:ind w:right="145"/>
              <w:jc w:val="right"/>
              <w:rPr>
                <w:sz w:val="23"/>
              </w:rPr>
            </w:pPr>
            <w:r>
              <w:rPr>
                <w:w w:val="92"/>
                <w:sz w:val="23"/>
              </w:rPr>
              <w:t>83</w:t>
            </w:r>
            <w:r>
              <w:rPr>
                <w:w w:val="185"/>
                <w:sz w:val="23"/>
              </w:rPr>
              <w:t>.</w:t>
            </w:r>
            <w:r>
              <w:rPr>
                <w:w w:val="92"/>
                <w:sz w:val="23"/>
              </w:rPr>
              <w:t>3</w:t>
            </w:r>
          </w:p>
        </w:tc>
        <w:tc>
          <w:tcPr>
            <w:tcW w:w="1546" w:type="dxa"/>
            <w:tcBorders>
              <w:top w:val="dashSmallGap" w:sz="8" w:space="0" w:color="000000"/>
            </w:tcBorders>
          </w:tcPr>
          <w:p>
            <w:pPr>
              <w:pStyle w:val="TableParagraph"/>
              <w:spacing w:line="229" w:lineRule="exact"/>
              <w:ind w:right="146"/>
              <w:jc w:val="right"/>
              <w:rPr>
                <w:sz w:val="23"/>
              </w:rPr>
            </w:pPr>
            <w:r>
              <w:rPr>
                <w:w w:val="92"/>
                <w:sz w:val="23"/>
              </w:rPr>
              <w:t>16</w:t>
            </w:r>
            <w:r>
              <w:rPr>
                <w:w w:val="185"/>
                <w:sz w:val="23"/>
              </w:rPr>
              <w:t>.</w:t>
            </w:r>
            <w:r>
              <w:rPr>
                <w:w w:val="92"/>
                <w:sz w:val="23"/>
              </w:rPr>
              <w:t>7</w:t>
            </w:r>
          </w:p>
        </w:tc>
        <w:tc>
          <w:tcPr>
            <w:tcW w:w="1546" w:type="dxa"/>
            <w:tcBorders>
              <w:top w:val="dashSmallGap" w:sz="8" w:space="0" w:color="000000"/>
            </w:tcBorders>
          </w:tcPr>
          <w:p>
            <w:pPr>
              <w:pStyle w:val="TableParagraph"/>
              <w:spacing w:line="229" w:lineRule="exact"/>
              <w:ind w:right="145"/>
              <w:jc w:val="right"/>
              <w:rPr>
                <w:sz w:val="23"/>
              </w:rPr>
            </w:pPr>
            <w:r>
              <w:rPr>
                <w:w w:val="92"/>
                <w:sz w:val="23"/>
              </w:rPr>
              <w:t>0</w:t>
            </w:r>
            <w:r>
              <w:rPr>
                <w:w w:val="185"/>
                <w:sz w:val="23"/>
              </w:rPr>
              <w:t>.</w:t>
            </w:r>
            <w:r>
              <w:rPr>
                <w:w w:val="92"/>
                <w:sz w:val="23"/>
              </w:rPr>
              <w:t>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726" w:type="dxa"/>
          </w:tcPr>
          <w:p>
            <w:pPr>
              <w:pStyle w:val="TableParagraph"/>
              <w:spacing w:line="229" w:lineRule="exact"/>
              <w:ind w:right="143"/>
              <w:jc w:val="right"/>
              <w:rPr>
                <w:sz w:val="23"/>
              </w:rPr>
            </w:pPr>
            <w:r>
              <w:rPr>
                <w:w w:val="92"/>
                <w:sz w:val="23"/>
              </w:rPr>
              <w:t>0</w:t>
            </w:r>
            <w:r>
              <w:rPr>
                <w:w w:val="185"/>
                <w:sz w:val="23"/>
              </w:rPr>
              <w:t>.</w:t>
            </w:r>
            <w:r>
              <w:rPr>
                <w:w w:val="92"/>
                <w:sz w:val="23"/>
              </w:rPr>
              <w:t>0</w:t>
            </w:r>
          </w:p>
        </w:tc>
        <w:tc>
          <w:tcPr>
            <w:tcW w:w="1546" w:type="dxa"/>
          </w:tcPr>
          <w:p>
            <w:pPr>
              <w:pStyle w:val="TableParagraph"/>
              <w:spacing w:line="229" w:lineRule="exact"/>
              <w:ind w:right="145"/>
              <w:jc w:val="right"/>
              <w:rPr>
                <w:sz w:val="23"/>
              </w:rPr>
            </w:pPr>
            <w:r>
              <w:rPr>
                <w:w w:val="92"/>
                <w:sz w:val="23"/>
              </w:rPr>
              <w:t>22</w:t>
            </w:r>
            <w:r>
              <w:rPr>
                <w:w w:val="185"/>
                <w:sz w:val="23"/>
              </w:rPr>
              <w:t>.</w:t>
            </w:r>
            <w:r>
              <w:rPr>
                <w:w w:val="92"/>
                <w:sz w:val="23"/>
              </w:rPr>
              <w:t>2</w:t>
            </w:r>
          </w:p>
        </w:tc>
        <w:tc>
          <w:tcPr>
            <w:tcW w:w="1546" w:type="dxa"/>
          </w:tcPr>
          <w:p>
            <w:pPr>
              <w:pStyle w:val="TableParagraph"/>
              <w:spacing w:line="229" w:lineRule="exact"/>
              <w:ind w:right="145"/>
              <w:jc w:val="right"/>
              <w:rPr>
                <w:sz w:val="23"/>
              </w:rPr>
            </w:pPr>
            <w:r>
              <w:rPr>
                <w:w w:val="92"/>
                <w:sz w:val="23"/>
              </w:rPr>
              <w:t>27</w:t>
            </w:r>
            <w:r>
              <w:rPr>
                <w:w w:val="185"/>
                <w:sz w:val="23"/>
              </w:rPr>
              <w:t>.</w:t>
            </w:r>
            <w:r>
              <w:rPr>
                <w:w w:val="92"/>
                <w:sz w:val="23"/>
              </w:rPr>
              <w:t>8</w:t>
            </w:r>
          </w:p>
        </w:tc>
        <w:tc>
          <w:tcPr>
            <w:tcW w:w="1546" w:type="dxa"/>
          </w:tcPr>
          <w:p>
            <w:pPr>
              <w:pStyle w:val="TableParagraph"/>
              <w:spacing w:line="229" w:lineRule="exact"/>
              <w:ind w:right="146"/>
              <w:jc w:val="right"/>
              <w:rPr>
                <w:sz w:val="23"/>
              </w:rPr>
            </w:pPr>
            <w:r>
              <w:rPr>
                <w:w w:val="92"/>
                <w:sz w:val="23"/>
              </w:rPr>
              <w:t>22</w:t>
            </w:r>
            <w:r>
              <w:rPr>
                <w:w w:val="185"/>
                <w:sz w:val="23"/>
              </w:rPr>
              <w:t>.</w:t>
            </w:r>
            <w:r>
              <w:rPr>
                <w:w w:val="92"/>
                <w:sz w:val="23"/>
              </w:rPr>
              <w:t>2</w:t>
            </w:r>
          </w:p>
        </w:tc>
        <w:tc>
          <w:tcPr>
            <w:tcW w:w="1546" w:type="dxa"/>
          </w:tcPr>
          <w:p>
            <w:pPr>
              <w:pStyle w:val="TableParagraph"/>
              <w:spacing w:line="229" w:lineRule="exact"/>
              <w:ind w:right="146"/>
              <w:jc w:val="right"/>
              <w:rPr>
                <w:sz w:val="23"/>
              </w:rPr>
            </w:pPr>
            <w:r>
              <w:rPr>
                <w:w w:val="92"/>
                <w:sz w:val="23"/>
              </w:rPr>
              <w:t>27</w:t>
            </w:r>
            <w:r>
              <w:rPr>
                <w:w w:val="185"/>
                <w:sz w:val="23"/>
              </w:rPr>
              <w:t>.</w:t>
            </w:r>
            <w:r>
              <w:rPr>
                <w:w w:val="92"/>
                <w:sz w:val="23"/>
              </w:rPr>
              <w:t>8</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726" w:type="dxa"/>
          </w:tcPr>
          <w:p>
            <w:pPr>
              <w:pStyle w:val="TableParagraph"/>
              <w:spacing w:line="229" w:lineRule="exact"/>
              <w:ind w:right="143"/>
              <w:jc w:val="right"/>
              <w:rPr>
                <w:sz w:val="23"/>
              </w:rPr>
            </w:pPr>
            <w:r>
              <w:rPr>
                <w:w w:val="92"/>
                <w:sz w:val="23"/>
              </w:rPr>
              <w:t>0</w:t>
            </w:r>
            <w:r>
              <w:rPr>
                <w:w w:val="185"/>
                <w:sz w:val="23"/>
              </w:rPr>
              <w:t>.</w:t>
            </w:r>
            <w:r>
              <w:rPr>
                <w:w w:val="92"/>
                <w:sz w:val="23"/>
              </w:rPr>
              <w:t>0</w:t>
            </w:r>
          </w:p>
        </w:tc>
        <w:tc>
          <w:tcPr>
            <w:tcW w:w="1546" w:type="dxa"/>
          </w:tcPr>
          <w:p>
            <w:pPr>
              <w:pStyle w:val="TableParagraph"/>
              <w:spacing w:line="229" w:lineRule="exact"/>
              <w:ind w:right="145"/>
              <w:jc w:val="right"/>
              <w:rPr>
                <w:sz w:val="23"/>
              </w:rPr>
            </w:pPr>
            <w:r>
              <w:rPr>
                <w:w w:val="92"/>
                <w:sz w:val="23"/>
              </w:rPr>
              <w:t>14</w:t>
            </w:r>
            <w:r>
              <w:rPr>
                <w:w w:val="185"/>
                <w:sz w:val="23"/>
              </w:rPr>
              <w:t>.</w:t>
            </w:r>
            <w:r>
              <w:rPr>
                <w:w w:val="92"/>
                <w:sz w:val="23"/>
              </w:rPr>
              <w:t>3</w:t>
            </w:r>
          </w:p>
        </w:tc>
        <w:tc>
          <w:tcPr>
            <w:tcW w:w="1546" w:type="dxa"/>
          </w:tcPr>
          <w:p>
            <w:pPr>
              <w:pStyle w:val="TableParagraph"/>
              <w:spacing w:line="229" w:lineRule="exact"/>
              <w:ind w:right="144"/>
              <w:jc w:val="right"/>
              <w:rPr>
                <w:sz w:val="23"/>
              </w:rPr>
            </w:pPr>
            <w:r>
              <w:rPr>
                <w:w w:val="92"/>
                <w:sz w:val="23"/>
              </w:rPr>
              <w:t>0</w:t>
            </w:r>
            <w:r>
              <w:rPr>
                <w:w w:val="185"/>
                <w:sz w:val="23"/>
              </w:rPr>
              <w:t>.</w:t>
            </w:r>
            <w:r>
              <w:rPr>
                <w:w w:val="92"/>
                <w:sz w:val="23"/>
              </w:rPr>
              <w:t>0</w:t>
            </w:r>
          </w:p>
        </w:tc>
        <w:tc>
          <w:tcPr>
            <w:tcW w:w="1546" w:type="dxa"/>
          </w:tcPr>
          <w:p>
            <w:pPr>
              <w:pStyle w:val="TableParagraph"/>
              <w:spacing w:line="229" w:lineRule="exact"/>
              <w:ind w:right="146"/>
              <w:jc w:val="right"/>
              <w:rPr>
                <w:sz w:val="23"/>
              </w:rPr>
            </w:pPr>
            <w:r>
              <w:rPr>
                <w:w w:val="92"/>
                <w:sz w:val="23"/>
              </w:rPr>
              <w:t>42</w:t>
            </w:r>
            <w:r>
              <w:rPr>
                <w:w w:val="185"/>
                <w:sz w:val="23"/>
              </w:rPr>
              <w:t>.</w:t>
            </w:r>
            <w:r>
              <w:rPr>
                <w:w w:val="92"/>
                <w:sz w:val="23"/>
              </w:rPr>
              <w:t>9</w:t>
            </w:r>
          </w:p>
        </w:tc>
        <w:tc>
          <w:tcPr>
            <w:tcW w:w="1546" w:type="dxa"/>
          </w:tcPr>
          <w:p>
            <w:pPr>
              <w:pStyle w:val="TableParagraph"/>
              <w:spacing w:line="229" w:lineRule="exact"/>
              <w:ind w:right="146"/>
              <w:jc w:val="right"/>
              <w:rPr>
                <w:sz w:val="23"/>
              </w:rPr>
            </w:pPr>
            <w:r>
              <w:rPr>
                <w:w w:val="92"/>
                <w:sz w:val="23"/>
              </w:rPr>
              <w:t>42</w:t>
            </w:r>
            <w:r>
              <w:rPr>
                <w:w w:val="185"/>
                <w:sz w:val="23"/>
              </w:rPr>
              <w:t>.</w:t>
            </w:r>
            <w:r>
              <w:rPr>
                <w:w w:val="92"/>
                <w:sz w:val="23"/>
              </w:rPr>
              <w:t>9</w:t>
            </w:r>
          </w:p>
        </w:tc>
      </w:tr>
    </w:tbl>
    <w:p>
      <w:pPr>
        <w:pStyle w:val="BodyText"/>
        <w:spacing w:before="6"/>
        <w:rPr>
          <w:sz w:val="20"/>
        </w:rPr>
      </w:pPr>
      <w:r>
        <w:rPr/>
        <w:pict>
          <v:group style="position:absolute;margin-left:137.337997pt;margin-top:15.713593pt;width:331.35pt;height:208.8pt;mso-position-horizontal-relative:page;mso-position-vertical-relative:paragraph;z-index:224;mso-wrap-distance-left:0;mso-wrap-distance-right:0" coordorigin="2747,314" coordsize="6627,4176">
            <v:rect style="position:absolute;left:2747;top:315;width:6625;height:4174" filled="false" stroked="true" strokeweight=".12pt" strokecolor="#7f7f7f">
              <v:stroke dashstyle="solid"/>
            </v:rect>
            <v:rect style="position:absolute;left:3312;top:3245;width:749;height:543" filled="true" fillcolor="#d1debd" stroked="false">
              <v:fill type="solid"/>
            </v:rect>
            <v:rect style="position:absolute;left:3312;top:3245;width:747;height:540" filled="false" stroked="true" strokeweight=".12pt" strokecolor="#7f7f00">
              <v:stroke dashstyle="solid"/>
            </v:rect>
            <v:rect style="position:absolute;left:4771;top:3075;width:749;height:713" filled="true" fillcolor="#d1debd" stroked="false">
              <v:fill type="solid"/>
            </v:rect>
            <v:rect style="position:absolute;left:4771;top:3075;width:747;height:711" filled="false" stroked="true" strokeweight=".12pt" strokecolor="#7f7f00">
              <v:stroke dashstyle="solid"/>
            </v:rect>
            <v:rect style="position:absolute;left:6230;top:2689;width:749;height:1100" filled="true" fillcolor="#d1debd" stroked="false">
              <v:fill type="solid"/>
            </v:rect>
            <v:rect style="position:absolute;left:6230;top:2689;width:747;height:1097" filled="false" stroked="true" strokeweight=".12pt" strokecolor="#7f7f00">
              <v:stroke dashstyle="solid"/>
            </v:rect>
            <v:rect style="position:absolute;left:3312;top:2345;width:749;height:900" filled="true" fillcolor="#b8cd95" stroked="false">
              <v:fill type="solid"/>
            </v:rect>
            <v:rect style="position:absolute;left:3312;top:2345;width:747;height:898" filled="false" stroked="true" strokeweight=".12pt" strokecolor="#7f7f00">
              <v:stroke dashstyle="solid"/>
            </v:rect>
            <v:rect style="position:absolute;left:4771;top:2506;width:749;height:569" filled="true" fillcolor="#b8cd95" stroked="false">
              <v:fill type="solid"/>
            </v:rect>
            <v:rect style="position:absolute;left:4771;top:2506;width:747;height:567" filled="false" stroked="true" strokeweight=".12pt" strokecolor="#7f7f00">
              <v:stroke dashstyle="solid"/>
            </v:rect>
            <v:rect style="position:absolute;left:6230;top:1592;width:749;height:1097" filled="true" fillcolor="#b8cd95" stroked="false">
              <v:fill type="solid"/>
            </v:rect>
            <v:rect style="position:absolute;left:6230;top:1592;width:747;height:1095" filled="false" stroked="true" strokeweight=".12pt" strokecolor="#7f7f00">
              <v:stroke dashstyle="solid"/>
            </v:rect>
            <v:rect style="position:absolute;left:3312;top:1587;width:749;height:759" filled="true" fillcolor="#9aba59" stroked="false">
              <v:fill type="solid"/>
            </v:rect>
            <v:rect style="position:absolute;left:3312;top:1587;width:747;height:756" filled="false" stroked="true" strokeweight=".12pt" strokecolor="#7f7f00">
              <v:stroke dashstyle="solid"/>
            </v:rect>
            <v:rect style="position:absolute;left:4771;top:1796;width:749;height:711" filled="true" fillcolor="#9aba59" stroked="false">
              <v:fill type="solid"/>
            </v:rect>
            <v:rect style="position:absolute;left:4771;top:1796;width:747;height:709" filled="false" stroked="true" strokeweight=".12pt" strokecolor="#7f7f00">
              <v:stroke dashstyle="solid"/>
            </v:rect>
            <v:rect style="position:absolute;left:3312;top:1335;width:749;height:253" filled="true" fillcolor="#88a44e" stroked="false">
              <v:fill type="solid"/>
            </v:rect>
            <v:rect style="position:absolute;left:3312;top:1335;width:747;height:250" filled="false" stroked="true" strokeweight=".12pt" strokecolor="#7f7f00">
              <v:stroke dashstyle="solid"/>
            </v:rect>
            <v:rect style="position:absolute;left:4771;top:1227;width:749;height:569" filled="true" fillcolor="#88a44e" stroked="false">
              <v:fill type="solid"/>
            </v:rect>
            <v:rect style="position:absolute;left:4771;top:1227;width:747;height:567" filled="false" stroked="true" strokeweight=".12pt" strokecolor="#7f7f00">
              <v:stroke dashstyle="solid"/>
            </v:rect>
            <v:rect style="position:absolute;left:6230;top:1227;width:749;height:365" filled="true" fillcolor="#88a44e" stroked="false">
              <v:fill type="solid"/>
            </v:rect>
            <v:rect style="position:absolute;left:6230;top:1227;width:747;height:363" filled="false" stroked="true" strokeweight=".12pt" strokecolor="#7f7f00">
              <v:stroke dashstyle="solid"/>
            </v:rect>
            <v:rect style="position:absolute;left:3312;top:1227;width:749;height:108" filled="true" fillcolor="#738b40" stroked="false">
              <v:fill type="solid"/>
            </v:rect>
            <v:rect style="position:absolute;left:3312;top:1227;width:747;height:106" filled="false" stroked="true" strokeweight=".12pt" strokecolor="#7f7f00">
              <v:stroke dashstyle="solid"/>
            </v:rect>
            <v:line style="position:absolute" from="2957,3786" to="7334,3786" stroked="true" strokeweight=".12pt" strokecolor="#7f7f7f">
              <v:stroke dashstyle="solid"/>
            </v:line>
            <v:rect style="position:absolute;left:7636;top:1076;width:106;height:106" filled="true" fillcolor="#738b40" stroked="false">
              <v:fill type="solid"/>
            </v:rect>
            <v:rect style="position:absolute;left:7636;top:1076;width:104;height:104" filled="false" stroked="true" strokeweight=".12pt" strokecolor="#7f7f00">
              <v:stroke dashstyle="solid"/>
            </v:rect>
            <v:rect style="position:absolute;left:7636;top:1671;width:106;height:106" filled="true" fillcolor="#88a44e" stroked="false">
              <v:fill type="solid"/>
            </v:rect>
            <v:rect style="position:absolute;left:7636;top:1671;width:104;height:104" filled="false" stroked="true" strokeweight=".12pt" strokecolor="#7f7f00">
              <v:stroke dashstyle="solid"/>
            </v:rect>
            <v:rect style="position:absolute;left:7636;top:2264;width:106;height:106" filled="true" fillcolor="#9aba59" stroked="false">
              <v:fill type="solid"/>
            </v:rect>
            <v:rect style="position:absolute;left:7636;top:2264;width:104;height:104" filled="false" stroked="true" strokeweight=".12pt" strokecolor="#7f7f00">
              <v:stroke dashstyle="solid"/>
            </v:rect>
            <v:rect style="position:absolute;left:7636;top:2859;width:106;height:106" filled="true" fillcolor="#b8cd95" stroked="false">
              <v:fill type="solid"/>
            </v:rect>
            <v:rect style="position:absolute;left:7636;top:2859;width:104;height:104" filled="false" stroked="true" strokeweight=".12pt" strokecolor="#7f7f00">
              <v:stroke dashstyle="solid"/>
            </v:rect>
            <v:rect style="position:absolute;left:7636;top:3452;width:106;height:106" filled="true" fillcolor="#d1debd" stroked="false">
              <v:fill type="solid"/>
            </v:rect>
            <v:rect style="position:absolute;left:7636;top:3452;width:104;height:104" filled="false" stroked="true" strokeweight=".12pt" strokecolor="#7f7f00">
              <v:stroke dashstyle="solid"/>
            </v:rect>
            <v:rect style="position:absolute;left:2747;top:315;width:6625;height:4174" filled="false" stroked="true" strokeweight=".12pt" strokecolor="#7f7f7f">
              <v:stroke dashstyle="solid"/>
            </v:rect>
            <v:shape style="position:absolute;left:6206;top:3933;width:817;height:200" type="#_x0000_t202" filled="false" stroked="false">
              <v:textbox inset="0,0,0,0">
                <w:txbxContent>
                  <w:p>
                    <w:pPr>
                      <w:spacing w:line="199" w:lineRule="exact" w:before="0"/>
                      <w:ind w:left="0" w:right="0" w:firstLine="0"/>
                      <w:jc w:val="left"/>
                      <w:rPr>
                        <w:sz w:val="20"/>
                      </w:rPr>
                    </w:pPr>
                    <w:r>
                      <w:rPr>
                        <w:sz w:val="20"/>
                      </w:rPr>
                      <w:t>雇用関連</w:t>
                    </w:r>
                  </w:p>
                </w:txbxContent>
              </v:textbox>
              <w10:wrap type="none"/>
            </v:shape>
            <v:shape style="position:absolute;left:4747;top:3933;width:817;height:200" type="#_x0000_t202" filled="false" stroked="false">
              <v:textbox inset="0,0,0,0">
                <w:txbxContent>
                  <w:p>
                    <w:pPr>
                      <w:spacing w:line="199" w:lineRule="exact" w:before="0"/>
                      <w:ind w:left="0" w:right="0" w:firstLine="0"/>
                      <w:jc w:val="left"/>
                      <w:rPr>
                        <w:sz w:val="20"/>
                      </w:rPr>
                    </w:pPr>
                    <w:r>
                      <w:rPr>
                        <w:sz w:val="20"/>
                      </w:rPr>
                      <w:t>企業関連</w:t>
                    </w:r>
                  </w:p>
                </w:txbxContent>
              </v:textbox>
              <w10:wrap type="none"/>
            </v:shape>
            <v:shape style="position:absolute;left:3287;top:3933;width:817;height:200" type="#_x0000_t202" filled="false" stroked="false">
              <v:textbox inset="0,0,0,0">
                <w:txbxContent>
                  <w:p>
                    <w:pPr>
                      <w:spacing w:line="199" w:lineRule="exact" w:before="0"/>
                      <w:ind w:left="0" w:right="0" w:firstLine="0"/>
                      <w:jc w:val="left"/>
                      <w:rPr>
                        <w:sz w:val="20"/>
                      </w:rPr>
                    </w:pPr>
                    <w:r>
                      <w:rPr>
                        <w:sz w:val="20"/>
                      </w:rPr>
                      <w:t>家計関連</w:t>
                    </w:r>
                  </w:p>
                </w:txbxContent>
              </v:textbox>
              <w10:wrap type="none"/>
            </v:shape>
            <v:shape style="position:absolute;left:7783;top:3405;width:1002;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下回っている</w:t>
                    </w:r>
                  </w:p>
                </w:txbxContent>
              </v:textbox>
              <w10:wrap type="none"/>
            </v:shape>
            <v:shape style="position:absolute;left:4975;top:3324;width:360;height:200" type="#_x0000_t202" filled="false" stroked="false">
              <v:textbox inset="0,0,0,0">
                <w:txbxContent>
                  <w:p>
                    <w:pPr>
                      <w:spacing w:line="199" w:lineRule="exact" w:before="0"/>
                      <w:ind w:left="0" w:right="0" w:firstLine="0"/>
                      <w:jc w:val="left"/>
                      <w:rPr>
                        <w:sz w:val="20"/>
                      </w:rPr>
                    </w:pPr>
                    <w:r>
                      <w:rPr>
                        <w:w w:val="90"/>
                        <w:sz w:val="20"/>
                      </w:rPr>
                      <w:t>27.8</w:t>
                    </w:r>
                  </w:p>
                </w:txbxContent>
              </v:textbox>
              <w10:wrap type="none"/>
            </v:shape>
            <v:shape style="position:absolute;left:3516;top:3410;width:360;height:200" type="#_x0000_t202" filled="false" stroked="false">
              <v:textbox inset="0,0,0,0">
                <w:txbxContent>
                  <w:p>
                    <w:pPr>
                      <w:spacing w:line="199" w:lineRule="exact" w:before="0"/>
                      <w:ind w:left="0" w:right="0" w:firstLine="0"/>
                      <w:jc w:val="left"/>
                      <w:rPr>
                        <w:sz w:val="20"/>
                      </w:rPr>
                    </w:pPr>
                    <w:r>
                      <w:rPr>
                        <w:w w:val="90"/>
                        <w:sz w:val="20"/>
                      </w:rPr>
                      <w:t>21.1</w:t>
                    </w:r>
                  </w:p>
                </w:txbxContent>
              </v:textbox>
              <w10:wrap type="none"/>
            </v:shape>
            <v:shape style="position:absolute;left:7783;top:2812;width:1357;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やや下回っている</w:t>
                    </w:r>
                  </w:p>
                </w:txbxContent>
              </v:textbox>
              <w10:wrap type="none"/>
            </v:shape>
            <v:shape style="position:absolute;left:6434;top:3132;width:360;height:200" type="#_x0000_t202" filled="false" stroked="false">
              <v:textbox inset="0,0,0,0">
                <w:txbxContent>
                  <w:p>
                    <w:pPr>
                      <w:spacing w:line="199" w:lineRule="exact" w:before="0"/>
                      <w:ind w:left="0" w:right="0" w:firstLine="0"/>
                      <w:jc w:val="left"/>
                      <w:rPr>
                        <w:sz w:val="20"/>
                      </w:rPr>
                    </w:pPr>
                    <w:r>
                      <w:rPr>
                        <w:w w:val="90"/>
                        <w:sz w:val="20"/>
                      </w:rPr>
                      <w:t>42.9</w:t>
                    </w:r>
                  </w:p>
                </w:txbxContent>
              </v:textbox>
              <w10:wrap type="none"/>
            </v:shape>
            <v:shape style="position:absolute;left:4975;top:2683;width:360;height:200" type="#_x0000_t202" filled="false" stroked="false">
              <v:textbox inset="0,0,0,0">
                <w:txbxContent>
                  <w:p>
                    <w:pPr>
                      <w:spacing w:line="199" w:lineRule="exact" w:before="0"/>
                      <w:ind w:left="0" w:right="0" w:firstLine="0"/>
                      <w:jc w:val="left"/>
                      <w:rPr>
                        <w:sz w:val="20"/>
                      </w:rPr>
                    </w:pPr>
                    <w:r>
                      <w:rPr>
                        <w:w w:val="90"/>
                        <w:sz w:val="20"/>
                      </w:rPr>
                      <w:t>22.2</w:t>
                    </w:r>
                  </w:p>
                </w:txbxContent>
              </v:textbox>
              <w10:wrap type="none"/>
            </v:shape>
            <v:shape style="position:absolute;left:3516;top:2688;width:360;height:200" type="#_x0000_t202" filled="false" stroked="false">
              <v:textbox inset="0,0,0,0">
                <w:txbxContent>
                  <w:p>
                    <w:pPr>
                      <w:spacing w:line="199" w:lineRule="exact" w:before="0"/>
                      <w:ind w:left="0" w:right="0" w:firstLine="0"/>
                      <w:jc w:val="left"/>
                      <w:rPr>
                        <w:sz w:val="20"/>
                      </w:rPr>
                    </w:pPr>
                    <w:r>
                      <w:rPr>
                        <w:w w:val="90"/>
                        <w:sz w:val="20"/>
                      </w:rPr>
                      <w:t>35.2</w:t>
                    </w:r>
                  </w:p>
                </w:txbxContent>
              </v:textbox>
              <w10:wrap type="none"/>
            </v:shape>
            <v:shape style="position:absolute;left:7783;top:2217;width:1223;height:178" type="#_x0000_t202" filled="false" stroked="false">
              <v:textbox inset="0,0,0,0">
                <w:txbxContent>
                  <w:p>
                    <w:pPr>
                      <w:spacing w:line="178" w:lineRule="exact" w:before="0"/>
                      <w:ind w:left="0" w:right="0" w:firstLine="0"/>
                      <w:jc w:val="left"/>
                      <w:rPr>
                        <w:sz w:val="17"/>
                      </w:rPr>
                    </w:pPr>
                    <w:r>
                      <w:rPr>
                        <w:sz w:val="17"/>
                      </w:rPr>
                      <w:t>震災前と同程度</w:t>
                    </w:r>
                  </w:p>
                </w:txbxContent>
              </v:textbox>
              <w10:wrap type="none"/>
            </v:shape>
            <v:shape style="position:absolute;left:4975;top:2033;width:1819;height:212" type="#_x0000_t202" filled="false" stroked="false">
              <v:textbox inset="0,0,0,0">
                <w:txbxContent>
                  <w:p>
                    <w:pPr>
                      <w:tabs>
                        <w:tab w:pos="1459" w:val="left" w:leader="none"/>
                      </w:tabs>
                      <w:spacing w:line="211" w:lineRule="exact" w:before="0"/>
                      <w:ind w:left="0" w:right="0" w:firstLine="0"/>
                      <w:jc w:val="left"/>
                      <w:rPr>
                        <w:sz w:val="20"/>
                      </w:rPr>
                    </w:pPr>
                    <w:r>
                      <w:rPr>
                        <w:color w:val="FFFFFF"/>
                        <w:w w:val="95"/>
                        <w:sz w:val="20"/>
                      </w:rPr>
                      <w:t>27.8</w:t>
                      <w:tab/>
                    </w:r>
                    <w:r>
                      <w:rPr>
                        <w:w w:val="90"/>
                        <w:position w:val="1"/>
                        <w:sz w:val="20"/>
                      </w:rPr>
                      <w:t>42.9</w:t>
                    </w:r>
                  </w:p>
                </w:txbxContent>
              </v:textbox>
              <w10:wrap type="none"/>
            </v:shape>
            <v:shape style="position:absolute;left:7783;top:1624;width:1357;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やや上回っている</w:t>
                    </w:r>
                  </w:p>
                </w:txbxContent>
              </v:textbox>
              <w10:wrap type="none"/>
            </v:shape>
            <v:shape style="position:absolute;left:3516;top:1860;width:360;height:200" type="#_x0000_t202" filled="false" stroked="false">
              <v:textbox inset="0,0,0,0">
                <w:txbxContent>
                  <w:p>
                    <w:pPr>
                      <w:spacing w:line="199" w:lineRule="exact" w:before="0"/>
                      <w:ind w:left="0" w:right="0" w:firstLine="0"/>
                      <w:jc w:val="left"/>
                      <w:rPr>
                        <w:sz w:val="20"/>
                      </w:rPr>
                    </w:pPr>
                    <w:r>
                      <w:rPr>
                        <w:color w:val="FFFFFF"/>
                        <w:w w:val="90"/>
                        <w:sz w:val="20"/>
                      </w:rPr>
                      <w:t>29.6</w:t>
                    </w:r>
                  </w:p>
                </w:txbxContent>
              </v:textbox>
              <w10:wrap type="none"/>
            </v:shape>
            <v:shape style="position:absolute;left:7783;top:1029;width:1002;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上回っている</w:t>
                    </w:r>
                  </w:p>
                </w:txbxContent>
              </v:textbox>
              <w10:wrap type="none"/>
            </v:shape>
            <v:shape style="position:absolute;left:6434;top:1121;width:360;height:564" type="#_x0000_t202" filled="false" stroked="false">
              <v:textbox inset="0,0,0,0">
                <w:txbxContent>
                  <w:p>
                    <w:pPr>
                      <w:spacing w:line="183" w:lineRule="exact" w:before="0"/>
                      <w:ind w:left="50" w:right="0" w:firstLine="0"/>
                      <w:jc w:val="left"/>
                      <w:rPr>
                        <w:sz w:val="20"/>
                      </w:rPr>
                    </w:pPr>
                    <w:r>
                      <w:rPr>
                        <w:w w:val="95"/>
                        <w:sz w:val="20"/>
                      </w:rPr>
                      <w:t>0.0</w:t>
                    </w:r>
                  </w:p>
                  <w:p>
                    <w:pPr>
                      <w:spacing w:line="182" w:lineRule="exact" w:before="0"/>
                      <w:ind w:left="0" w:right="0" w:firstLine="0"/>
                      <w:jc w:val="left"/>
                      <w:rPr>
                        <w:sz w:val="20"/>
                      </w:rPr>
                    </w:pPr>
                    <w:r>
                      <w:rPr>
                        <w:color w:val="FFFFFF"/>
                        <w:w w:val="90"/>
                        <w:sz w:val="20"/>
                      </w:rPr>
                      <w:t>14.3</w:t>
                    </w:r>
                  </w:p>
                  <w:p>
                    <w:pPr>
                      <w:spacing w:line="199" w:lineRule="exact" w:before="0"/>
                      <w:ind w:left="50" w:right="0" w:firstLine="0"/>
                      <w:jc w:val="left"/>
                      <w:rPr>
                        <w:sz w:val="20"/>
                      </w:rPr>
                    </w:pPr>
                    <w:r>
                      <w:rPr>
                        <w:color w:val="FFFFFF"/>
                        <w:w w:val="95"/>
                        <w:sz w:val="20"/>
                      </w:rPr>
                      <w:t>0.0</w:t>
                    </w:r>
                  </w:p>
                </w:txbxContent>
              </v:textbox>
              <w10:wrap type="none"/>
            </v:shape>
            <v:shape style="position:absolute;left:4975;top:1121;width:360;height:483" type="#_x0000_t202" filled="false" stroked="false">
              <v:textbox inset="0,0,0,0">
                <w:txbxContent>
                  <w:p>
                    <w:pPr>
                      <w:spacing w:line="225" w:lineRule="exact" w:before="0"/>
                      <w:ind w:left="50" w:right="0" w:firstLine="0"/>
                      <w:jc w:val="left"/>
                      <w:rPr>
                        <w:sz w:val="20"/>
                      </w:rPr>
                    </w:pPr>
                    <w:r>
                      <w:rPr>
                        <w:w w:val="95"/>
                        <w:sz w:val="20"/>
                      </w:rPr>
                      <w:t>0.0</w:t>
                    </w:r>
                  </w:p>
                  <w:p>
                    <w:pPr>
                      <w:spacing w:line="242" w:lineRule="exact" w:before="15"/>
                      <w:ind w:left="0" w:right="0" w:firstLine="0"/>
                      <w:jc w:val="left"/>
                      <w:rPr>
                        <w:sz w:val="20"/>
                      </w:rPr>
                    </w:pPr>
                    <w:r>
                      <w:rPr>
                        <w:color w:val="FFFFFF"/>
                        <w:w w:val="90"/>
                        <w:sz w:val="20"/>
                      </w:rPr>
                      <w:t>22.2</w:t>
                    </w:r>
                  </w:p>
                </w:txbxContent>
              </v:textbox>
              <w10:wrap type="none"/>
            </v:shape>
            <v:shape style="position:absolute;left:3566;top:1173;width:260;height:380" type="#_x0000_t202" filled="false" stroked="false">
              <v:textbox inset="0,0,0,0">
                <w:txbxContent>
                  <w:p>
                    <w:pPr>
                      <w:spacing w:line="181" w:lineRule="exact" w:before="0"/>
                      <w:ind w:left="0" w:right="0" w:firstLine="0"/>
                      <w:jc w:val="left"/>
                      <w:rPr>
                        <w:sz w:val="20"/>
                      </w:rPr>
                    </w:pPr>
                    <w:r>
                      <w:rPr>
                        <w:w w:val="90"/>
                        <w:sz w:val="20"/>
                      </w:rPr>
                      <w:t>4.2</w:t>
                    </w:r>
                  </w:p>
                  <w:p>
                    <w:pPr>
                      <w:spacing w:line="198" w:lineRule="exact" w:before="0"/>
                      <w:ind w:left="0" w:right="0" w:firstLine="0"/>
                      <w:jc w:val="left"/>
                      <w:rPr>
                        <w:sz w:val="20"/>
                      </w:rPr>
                    </w:pPr>
                    <w:r>
                      <w:rPr>
                        <w:color w:val="FFFFFF"/>
                        <w:w w:val="90"/>
                        <w:sz w:val="20"/>
                      </w:rPr>
                      <w:t>9.9</w:t>
                    </w:r>
                  </w:p>
                </w:txbxContent>
              </v:textbox>
              <w10:wrap type="none"/>
            </v:shape>
            <v:shape style="position:absolute;left:5565;top:471;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分野別</w:t>
                    </w:r>
                    <w:r>
                      <w:rPr>
                        <w:rFonts w:ascii="Heiti SC" w:eastAsia="Heiti SC" w:hint="eastAsia"/>
                        <w:b/>
                        <w:w w:val="80"/>
                        <w:sz w:val="23"/>
                      </w:rPr>
                      <w:t>）</w:t>
                    </w:r>
                  </w:p>
                </w:txbxContent>
              </v:textbox>
              <w10:wrap type="none"/>
            </v:shape>
            <w10:wrap type="topAndBottom"/>
          </v:group>
        </w:pict>
      </w:r>
      <w:r>
        <w:rPr/>
        <w:pict>
          <v:group style="position:absolute;margin-left:137.337997pt;margin-top:247.432587pt;width:331.35pt;height:210.25pt;mso-position-horizontal-relative:page;mso-position-vertical-relative:paragraph;z-index:848;mso-wrap-distance-left:0;mso-wrap-distance-right:0" coordorigin="2747,4949" coordsize="6627,4205">
            <v:rect style="position:absolute;left:2747;top:4949;width:6625;height:4203" filled="false" stroked="true" strokeweight=".12pt" strokecolor="#7f7f7f">
              <v:stroke dashstyle="solid"/>
            </v:rect>
            <v:rect style="position:absolute;left:3223;top:7995;width:562;height:502" filled="true" fillcolor="#d1debd" stroked="false">
              <v:fill type="solid"/>
            </v:rect>
            <v:rect style="position:absolute;left:3223;top:7995;width:560;height:500" filled="false" stroked="true" strokeweight=".12pt" strokecolor="#7f7f00">
              <v:stroke dashstyle="solid"/>
            </v:rect>
            <v:rect style="position:absolute;left:4317;top:8005;width:562;height:492" filled="true" fillcolor="#d1debd" stroked="false">
              <v:fill type="solid"/>
            </v:rect>
            <v:rect style="position:absolute;left:4317;top:8005;width:560;height:490" filled="false" stroked="true" strokeweight=".12pt" strokecolor="#7f7f00">
              <v:stroke dashstyle="solid"/>
            </v:rect>
            <v:rect style="position:absolute;left:5412;top:7697;width:562;height:800" filled="true" fillcolor="#d1debd" stroked="false">
              <v:fill type="solid"/>
            </v:rect>
            <v:rect style="position:absolute;left:5412;top:7697;width:560;height:797" filled="false" stroked="true" strokeweight=".12pt" strokecolor="#7f7f00">
              <v:stroke dashstyle="solid"/>
            </v:rect>
            <v:rect style="position:absolute;left:3223;top:6999;width:562;height:997" filled="true" fillcolor="#b8cd95" stroked="false">
              <v:fill type="solid"/>
            </v:rect>
            <v:rect style="position:absolute;left:3223;top:6999;width:560;height:994" filled="false" stroked="true" strokeweight=".12pt" strokecolor="#7f7f00">
              <v:stroke dashstyle="solid"/>
            </v:rect>
            <v:rect style="position:absolute;left:4317;top:7025;width:562;height:980" filled="true" fillcolor="#b8cd95" stroked="false">
              <v:fill type="solid"/>
            </v:rect>
            <v:rect style="position:absolute;left:4317;top:7025;width:560;height:977" filled="false" stroked="true" strokeweight=".12pt" strokecolor="#7f7f00">
              <v:stroke dashstyle="solid"/>
            </v:rect>
            <v:rect style="position:absolute;left:5412;top:6699;width:562;height:999" filled="true" fillcolor="#b8cd95" stroked="false">
              <v:fill type="solid"/>
            </v:rect>
            <v:rect style="position:absolute;left:5412;top:6699;width:560;height:997" filled="false" stroked="true" strokeweight=".12pt" strokecolor="#7f7f00">
              <v:stroke dashstyle="solid"/>
            </v:rect>
            <v:rect style="position:absolute;left:6506;top:8045;width:562;height:449" filled="true" fillcolor="#b8cd95" stroked="false">
              <v:fill type="solid"/>
            </v:rect>
            <v:rect style="position:absolute;left:6506;top:8045;width:560;height:447" filled="false" stroked="true" strokeweight=".12pt" strokecolor="#7f7f00">
              <v:stroke dashstyle="solid"/>
            </v:rect>
            <v:rect style="position:absolute;left:3223;top:6399;width:562;height:600" filled="true" fillcolor="#9aba59" stroked="false">
              <v:fill type="solid"/>
            </v:rect>
            <v:rect style="position:absolute;left:3223;top:6399;width:560;height:598" filled="false" stroked="true" strokeweight=".12pt" strokecolor="#7f7f00">
              <v:stroke dashstyle="solid"/>
            </v:rect>
            <v:rect style="position:absolute;left:4317;top:6291;width:562;height:735" filled="true" fillcolor="#9aba59" stroked="false">
              <v:fill type="solid"/>
            </v:rect>
            <v:rect style="position:absolute;left:4317;top:6291;width:560;height:732" filled="false" stroked="true" strokeweight=".12pt" strokecolor="#7f7f00">
              <v:stroke dashstyle="solid"/>
            </v:rect>
            <v:rect style="position:absolute;left:5412;top:6001;width:562;height:699" filled="true" fillcolor="#9aba59" stroked="false">
              <v:fill type="solid"/>
            </v:rect>
            <v:rect style="position:absolute;left:5412;top:6001;width:560;height:696" filled="false" stroked="true" strokeweight=".12pt" strokecolor="#7f7f00">
              <v:stroke dashstyle="solid"/>
            </v:rect>
            <v:rect style="position:absolute;left:6506;top:5801;width:562;height:2244" filled="true" fillcolor="#9aba59" stroked="false">
              <v:fill type="solid"/>
            </v:rect>
            <v:rect style="position:absolute;left:6506;top:5801;width:560;height:2242" filled="false" stroked="true" strokeweight=".12pt" strokecolor="#7f7f00">
              <v:stroke dashstyle="solid"/>
            </v:rect>
            <v:rect style="position:absolute;left:3223;top:6101;width:562;height:298" filled="true" fillcolor="#88a44e" stroked="false">
              <v:fill type="solid"/>
            </v:rect>
            <v:rect style="position:absolute;left:3223;top:6101;width:560;height:296" filled="false" stroked="true" strokeweight=".12pt" strokecolor="#7f7f00">
              <v:stroke dashstyle="solid"/>
            </v:rect>
            <v:rect style="position:absolute;left:4317;top:5801;width:562;height:490" filled="true" fillcolor="#88a44e" stroked="false">
              <v:fill type="solid"/>
            </v:rect>
            <v:rect style="position:absolute;left:4317;top:5801;width:560;height:488" filled="false" stroked="true" strokeweight=".12pt" strokecolor="#7f7f00">
              <v:stroke dashstyle="solid"/>
            </v:rect>
            <v:rect style="position:absolute;left:5412;top:5801;width:562;height:200" filled="true" fillcolor="#88a44e" stroked="false">
              <v:fill type="solid"/>
            </v:rect>
            <v:rect style="position:absolute;left:5412;top:5801;width:560;height:197" filled="false" stroked="true" strokeweight=".12pt" strokecolor="#7f7f00">
              <v:stroke dashstyle="solid"/>
            </v:rect>
            <v:rect style="position:absolute;left:3223;top:5801;width:562;height:300" filled="true" fillcolor="#738b40" stroked="false">
              <v:fill type="solid"/>
            </v:rect>
            <v:rect style="position:absolute;left:3223;top:5801;width:560;height:298" filled="false" stroked="true" strokeweight=".12pt" strokecolor="#7f7f00">
              <v:stroke dashstyle="solid"/>
            </v:rect>
            <v:line style="position:absolute" from="2957,8495" to="7334,8495" stroked="true" strokeweight=".12pt" strokecolor="#7f7f7f">
              <v:stroke dashstyle="solid"/>
            </v:line>
            <v:rect style="position:absolute;left:7656;top:5751;width:106;height:106" filled="true" fillcolor="#738b40" stroked="false">
              <v:fill type="solid"/>
            </v:rect>
            <v:rect style="position:absolute;left:7656;top:5751;width:104;height:104" filled="false" stroked="true" strokeweight=".12pt" strokecolor="#7f7f00">
              <v:stroke dashstyle="solid"/>
            </v:rect>
            <v:rect style="position:absolute;left:7656;top:6346;width:106;height:106" filled="true" fillcolor="#88a44e" stroked="false">
              <v:fill type="solid"/>
            </v:rect>
            <v:rect style="position:absolute;left:7656;top:6346;width:104;height:104" filled="false" stroked="true" strokeweight=".12pt" strokecolor="#7f7f00">
              <v:stroke dashstyle="solid"/>
            </v:rect>
            <v:rect style="position:absolute;left:7656;top:6939;width:106;height:106" filled="true" fillcolor="#9aba59" stroked="false">
              <v:fill type="solid"/>
            </v:rect>
            <v:rect style="position:absolute;left:7656;top:6939;width:104;height:104" filled="false" stroked="true" strokeweight=".12pt" strokecolor="#7f7f00">
              <v:stroke dashstyle="solid"/>
            </v:rect>
            <v:rect style="position:absolute;left:7656;top:7534;width:106;height:106" filled="true" fillcolor="#b8cd95" stroked="false">
              <v:fill type="solid"/>
            </v:rect>
            <v:rect style="position:absolute;left:7656;top:7534;width:104;height:104" filled="false" stroked="true" strokeweight=".12pt" strokecolor="#7f7f00">
              <v:stroke dashstyle="solid"/>
            </v:rect>
            <v:rect style="position:absolute;left:7656;top:8127;width:106;height:106" filled="true" fillcolor="#d1debd" stroked="false">
              <v:fill type="solid"/>
            </v:rect>
            <v:rect style="position:absolute;left:7656;top:8127;width:104;height:104" filled="false" stroked="true" strokeweight=".12pt" strokecolor="#7f7f00">
              <v:stroke dashstyle="solid"/>
            </v:rect>
            <v:rect style="position:absolute;left:2747;top:4949;width:6625;height:4203" filled="false" stroked="true" strokeweight=".12pt" strokecolor="#7f7f7f">
              <v:stroke dashstyle="solid"/>
            </v:rect>
            <v:shape style="position:absolute;left:6587;top:8162;width:419;height:680" type="#_x0000_t202" filled="false" stroked="false">
              <v:textbox inset="0,0,0,0">
                <w:txbxContent>
                  <w:p>
                    <w:pPr>
                      <w:spacing w:line="204" w:lineRule="exact" w:before="0"/>
                      <w:ind w:left="28" w:right="0" w:firstLine="0"/>
                      <w:jc w:val="left"/>
                      <w:rPr>
                        <w:sz w:val="20"/>
                      </w:rPr>
                    </w:pPr>
                    <w:r>
                      <w:rPr>
                        <w:w w:val="95"/>
                        <w:sz w:val="20"/>
                      </w:rPr>
                      <w:t>16.7</w:t>
                    </w:r>
                  </w:p>
                  <w:p>
                    <w:pPr>
                      <w:spacing w:line="240" w:lineRule="exact" w:before="0"/>
                      <w:ind w:left="79" w:right="0" w:firstLine="0"/>
                      <w:jc w:val="left"/>
                      <w:rPr>
                        <w:sz w:val="20"/>
                      </w:rPr>
                    </w:pPr>
                    <w:r>
                      <w:rPr>
                        <w:w w:val="95"/>
                        <w:sz w:val="20"/>
                      </w:rPr>
                      <w:t>0.0</w:t>
                    </w:r>
                  </w:p>
                  <w:p>
                    <w:pPr>
                      <w:spacing w:line="235" w:lineRule="exact" w:before="0"/>
                      <w:ind w:left="0" w:right="0" w:firstLine="0"/>
                      <w:jc w:val="left"/>
                      <w:rPr>
                        <w:sz w:val="20"/>
                      </w:rPr>
                    </w:pPr>
                    <w:r>
                      <w:rPr>
                        <w:w w:val="95"/>
                        <w:sz w:val="20"/>
                      </w:rPr>
                      <w:t>住宅</w:t>
                    </w:r>
                  </w:p>
                </w:txbxContent>
              </v:textbox>
              <w10:wrap type="none"/>
            </v:shape>
            <v:shape style="position:absolute;left:5320;top:8642;width:764;height:200" type="#_x0000_t202" filled="false" stroked="false">
              <v:textbox inset="0,0,0,0">
                <w:txbxContent>
                  <w:p>
                    <w:pPr>
                      <w:spacing w:line="199" w:lineRule="exact" w:before="0"/>
                      <w:ind w:left="0" w:right="0" w:firstLine="0"/>
                      <w:jc w:val="left"/>
                      <w:rPr>
                        <w:sz w:val="20"/>
                      </w:rPr>
                    </w:pPr>
                    <w:r>
                      <w:rPr>
                        <w:w w:val="90"/>
                        <w:sz w:val="20"/>
                      </w:rPr>
                      <w:t>サービス</w:t>
                    </w:r>
                  </w:p>
                </w:txbxContent>
              </v:textbox>
              <w10:wrap type="none"/>
            </v:shape>
            <v:shape style="position:absolute;left:4399;top:8642;width:419;height:200" type="#_x0000_t202" filled="false" stroked="false">
              <v:textbox inset="0,0,0,0">
                <w:txbxContent>
                  <w:p>
                    <w:pPr>
                      <w:spacing w:line="199" w:lineRule="exact" w:before="0"/>
                      <w:ind w:left="0" w:right="0" w:firstLine="0"/>
                      <w:jc w:val="left"/>
                      <w:rPr>
                        <w:sz w:val="20"/>
                      </w:rPr>
                    </w:pPr>
                    <w:r>
                      <w:rPr>
                        <w:sz w:val="20"/>
                      </w:rPr>
                      <w:t>飲食</w:t>
                    </w:r>
                  </w:p>
                </w:txbxContent>
              </v:textbox>
              <w10:wrap type="none"/>
            </v:shape>
            <v:shape style="position:absolute;left:3304;top:8642;width:419;height:200" type="#_x0000_t202" filled="false" stroked="false">
              <v:textbox inset="0,0,0,0">
                <w:txbxContent>
                  <w:p>
                    <w:pPr>
                      <w:spacing w:line="199" w:lineRule="exact" w:before="0"/>
                      <w:ind w:left="0" w:right="0" w:firstLine="0"/>
                      <w:jc w:val="left"/>
                      <w:rPr>
                        <w:sz w:val="20"/>
                      </w:rPr>
                    </w:pPr>
                    <w:r>
                      <w:rPr>
                        <w:sz w:val="20"/>
                      </w:rPr>
                      <w:t>小売</w:t>
                    </w:r>
                  </w:p>
                </w:txbxContent>
              </v:textbox>
              <w10:wrap type="none"/>
            </v:shape>
            <v:shape style="position:absolute;left:7802;top:8080;width:1002;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下回っている</w:t>
                    </w:r>
                  </w:p>
                </w:txbxContent>
              </v:textbox>
              <w10:wrap type="none"/>
            </v:shape>
            <v:shape style="position:absolute;left:5522;top:7989;width:360;height:200" type="#_x0000_t202" filled="false" stroked="false">
              <v:textbox inset="0,0,0,0">
                <w:txbxContent>
                  <w:p>
                    <w:pPr>
                      <w:spacing w:line="199" w:lineRule="exact" w:before="0"/>
                      <w:ind w:left="0" w:right="0" w:firstLine="0"/>
                      <w:jc w:val="left"/>
                      <w:rPr>
                        <w:sz w:val="20"/>
                      </w:rPr>
                    </w:pPr>
                    <w:r>
                      <w:rPr>
                        <w:w w:val="90"/>
                        <w:sz w:val="20"/>
                      </w:rPr>
                      <w:t>29.6</w:t>
                    </w:r>
                  </w:p>
                </w:txbxContent>
              </v:textbox>
              <w10:wrap type="none"/>
            </v:shape>
            <v:shape style="position:absolute;left:4427;top:8143;width:360;height:200" type="#_x0000_t202" filled="false" stroked="false">
              <v:textbox inset="0,0,0,0">
                <w:txbxContent>
                  <w:p>
                    <w:pPr>
                      <w:spacing w:line="199" w:lineRule="exact" w:before="0"/>
                      <w:ind w:left="0" w:right="0" w:firstLine="0"/>
                      <w:jc w:val="left"/>
                      <w:rPr>
                        <w:sz w:val="20"/>
                      </w:rPr>
                    </w:pPr>
                    <w:r>
                      <w:rPr>
                        <w:w w:val="90"/>
                        <w:sz w:val="20"/>
                      </w:rPr>
                      <w:t>18.2</w:t>
                    </w:r>
                  </w:p>
                </w:txbxContent>
              </v:textbox>
              <w10:wrap type="none"/>
            </v:shape>
            <v:shape style="position:absolute;left:3333;top:8138;width:360;height:200" type="#_x0000_t202" filled="false" stroked="false">
              <v:textbox inset="0,0,0,0">
                <w:txbxContent>
                  <w:p>
                    <w:pPr>
                      <w:spacing w:line="199" w:lineRule="exact" w:before="0"/>
                      <w:ind w:left="0" w:right="0" w:firstLine="0"/>
                      <w:jc w:val="left"/>
                      <w:rPr>
                        <w:sz w:val="20"/>
                      </w:rPr>
                    </w:pPr>
                    <w:r>
                      <w:rPr>
                        <w:w w:val="90"/>
                        <w:sz w:val="20"/>
                      </w:rPr>
                      <w:t>18.5</w:t>
                    </w:r>
                  </w:p>
                </w:txbxContent>
              </v:textbox>
              <w10:wrap type="none"/>
            </v:shape>
            <v:shape style="position:absolute;left:7802;top:7487;width:1357;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やや下回っている</w:t>
                    </w:r>
                  </w:p>
                </w:txbxContent>
              </v:textbox>
              <w10:wrap type="none"/>
            </v:shape>
            <v:shape style="position:absolute;left:4427;top:7409;width:360;height:200" type="#_x0000_t202" filled="false" stroked="false">
              <v:textbox inset="0,0,0,0">
                <w:txbxContent>
                  <w:p>
                    <w:pPr>
                      <w:spacing w:line="199" w:lineRule="exact" w:before="0"/>
                      <w:ind w:left="0" w:right="0" w:firstLine="0"/>
                      <w:jc w:val="left"/>
                      <w:rPr>
                        <w:sz w:val="20"/>
                      </w:rPr>
                    </w:pPr>
                    <w:r>
                      <w:rPr>
                        <w:w w:val="90"/>
                        <w:sz w:val="20"/>
                      </w:rPr>
                      <w:t>36.4</w:t>
                    </w:r>
                  </w:p>
                </w:txbxContent>
              </v:textbox>
              <w10:wrap type="none"/>
            </v:shape>
            <v:shape style="position:absolute;left:3333;top:7389;width:360;height:200" type="#_x0000_t202" filled="false" stroked="false">
              <v:textbox inset="0,0,0,0">
                <w:txbxContent>
                  <w:p>
                    <w:pPr>
                      <w:spacing w:line="199" w:lineRule="exact" w:before="0"/>
                      <w:ind w:left="0" w:right="0" w:firstLine="0"/>
                      <w:jc w:val="left"/>
                      <w:rPr>
                        <w:sz w:val="20"/>
                      </w:rPr>
                    </w:pPr>
                    <w:r>
                      <w:rPr>
                        <w:w w:val="90"/>
                        <w:sz w:val="20"/>
                      </w:rPr>
                      <w:t>37.0</w:t>
                    </w:r>
                  </w:p>
                </w:txbxContent>
              </v:textbox>
              <w10:wrap type="none"/>
            </v:shape>
            <v:shape style="position:absolute;left:5522;top:7092;width:360;height:200" type="#_x0000_t202" filled="false" stroked="false">
              <v:textbox inset="0,0,0,0">
                <w:txbxContent>
                  <w:p>
                    <w:pPr>
                      <w:spacing w:line="199" w:lineRule="exact" w:before="0"/>
                      <w:ind w:left="0" w:right="0" w:firstLine="0"/>
                      <w:jc w:val="left"/>
                      <w:rPr>
                        <w:sz w:val="20"/>
                      </w:rPr>
                    </w:pPr>
                    <w:r>
                      <w:rPr>
                        <w:w w:val="90"/>
                        <w:sz w:val="20"/>
                      </w:rPr>
                      <w:t>37.0</w:t>
                    </w:r>
                  </w:p>
                </w:txbxContent>
              </v:textbox>
              <w10:wrap type="none"/>
            </v:shape>
            <v:shape style="position:absolute;left:7802;top:6892;width:1223;height:178" type="#_x0000_t202" filled="false" stroked="false">
              <v:textbox inset="0,0,0,0">
                <w:txbxContent>
                  <w:p>
                    <w:pPr>
                      <w:spacing w:line="178" w:lineRule="exact" w:before="0"/>
                      <w:ind w:left="0" w:right="0" w:firstLine="0"/>
                      <w:jc w:val="left"/>
                      <w:rPr>
                        <w:sz w:val="17"/>
                      </w:rPr>
                    </w:pPr>
                    <w:r>
                      <w:rPr>
                        <w:sz w:val="17"/>
                      </w:rPr>
                      <w:t>震災前と同程度</w:t>
                    </w:r>
                  </w:p>
                </w:txbxContent>
              </v:textbox>
              <w10:wrap type="none"/>
            </v:shape>
            <v:shape style="position:absolute;left:6616;top:6816;width:360;height:200" type="#_x0000_t202" filled="false" stroked="false">
              <v:textbox inset="0,0,0,0">
                <w:txbxContent>
                  <w:p>
                    <w:pPr>
                      <w:spacing w:line="199" w:lineRule="exact" w:before="0"/>
                      <w:ind w:left="0" w:right="0" w:firstLine="0"/>
                      <w:jc w:val="left"/>
                      <w:rPr>
                        <w:sz w:val="20"/>
                      </w:rPr>
                    </w:pPr>
                    <w:r>
                      <w:rPr>
                        <w:color w:val="FFFFFF"/>
                        <w:w w:val="90"/>
                        <w:sz w:val="20"/>
                      </w:rPr>
                      <w:t>83.3</w:t>
                    </w:r>
                  </w:p>
                </w:txbxContent>
              </v:textbox>
              <w10:wrap type="none"/>
            </v:shape>
            <v:shape style="position:absolute;left:7802;top:6299;width:1357;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やや上回っている</w:t>
                    </w:r>
                  </w:p>
                </w:txbxContent>
              </v:textbox>
              <w10:wrap type="none"/>
            </v:shape>
            <v:shape style="position:absolute;left:4427;top:6552;width:360;height:200" type="#_x0000_t202" filled="false" stroked="false">
              <v:textbox inset="0,0,0,0">
                <w:txbxContent>
                  <w:p>
                    <w:pPr>
                      <w:spacing w:line="199" w:lineRule="exact" w:before="0"/>
                      <w:ind w:left="0" w:right="0" w:firstLine="0"/>
                      <w:jc w:val="left"/>
                      <w:rPr>
                        <w:sz w:val="20"/>
                      </w:rPr>
                    </w:pPr>
                    <w:r>
                      <w:rPr>
                        <w:color w:val="FFFFFF"/>
                        <w:w w:val="90"/>
                        <w:sz w:val="20"/>
                      </w:rPr>
                      <w:t>27.3</w:t>
                    </w:r>
                  </w:p>
                </w:txbxContent>
              </v:textbox>
              <w10:wrap type="none"/>
            </v:shape>
            <v:shape style="position:absolute;left:3333;top:6593;width:360;height:200" type="#_x0000_t202" filled="false" stroked="false">
              <v:textbox inset="0,0,0,0">
                <w:txbxContent>
                  <w:p>
                    <w:pPr>
                      <w:spacing w:line="199" w:lineRule="exact" w:before="0"/>
                      <w:ind w:left="0" w:right="0" w:firstLine="0"/>
                      <w:jc w:val="left"/>
                      <w:rPr>
                        <w:sz w:val="20"/>
                      </w:rPr>
                    </w:pPr>
                    <w:r>
                      <w:rPr>
                        <w:color w:val="FFFFFF"/>
                        <w:w w:val="90"/>
                        <w:sz w:val="20"/>
                      </w:rPr>
                      <w:t>22.2</w:t>
                    </w:r>
                  </w:p>
                </w:txbxContent>
              </v:textbox>
              <w10:wrap type="none"/>
            </v:shape>
            <v:shape style="position:absolute;left:5522;top:6242;width:360;height:200" type="#_x0000_t202" filled="false" stroked="false">
              <v:textbox inset="0,0,0,0">
                <w:txbxContent>
                  <w:p>
                    <w:pPr>
                      <w:spacing w:line="199" w:lineRule="exact" w:before="0"/>
                      <w:ind w:left="0" w:right="0" w:firstLine="0"/>
                      <w:jc w:val="left"/>
                      <w:rPr>
                        <w:sz w:val="20"/>
                      </w:rPr>
                    </w:pPr>
                    <w:r>
                      <w:rPr>
                        <w:color w:val="FFFFFF"/>
                        <w:w w:val="90"/>
                        <w:sz w:val="20"/>
                      </w:rPr>
                      <w:t>25.9</w:t>
                    </w:r>
                  </w:p>
                </w:txbxContent>
              </v:textbox>
              <w10:wrap type="none"/>
            </v:shape>
            <v:shape style="position:absolute;left:7802;top:5704;width:1002;height:368" type="#_x0000_t202" filled="false" stroked="false">
              <v:textbox inset="0,0,0,0">
                <w:txbxContent>
                  <w:p>
                    <w:pPr>
                      <w:spacing w:line="180" w:lineRule="exact" w:before="0"/>
                      <w:ind w:left="0" w:right="0" w:firstLine="0"/>
                      <w:jc w:val="left"/>
                      <w:rPr>
                        <w:sz w:val="17"/>
                      </w:rPr>
                    </w:pPr>
                    <w:r>
                      <w:rPr>
                        <w:w w:val="105"/>
                        <w:sz w:val="17"/>
                      </w:rPr>
                      <w:t>震災前を</w:t>
                    </w:r>
                  </w:p>
                  <w:p>
                    <w:pPr>
                      <w:spacing w:line="188" w:lineRule="exact" w:before="0"/>
                      <w:ind w:left="0" w:right="0" w:firstLine="0"/>
                      <w:jc w:val="left"/>
                      <w:rPr>
                        <w:sz w:val="17"/>
                      </w:rPr>
                    </w:pPr>
                    <w:r>
                      <w:rPr>
                        <w:w w:val="95"/>
                        <w:sz w:val="17"/>
                      </w:rPr>
                      <w:t>上回っている</w:t>
                    </w:r>
                  </w:p>
                </w:txbxContent>
              </v:textbox>
              <w10:wrap type="none"/>
            </v:shape>
            <v:shape style="position:absolute;left:6667;top:5695;width:260;height:200" type="#_x0000_t202" filled="false" stroked="false">
              <v:textbox inset="0,0,0,0">
                <w:txbxContent>
                  <w:p>
                    <w:pPr>
                      <w:spacing w:line="199" w:lineRule="exact" w:before="0"/>
                      <w:ind w:left="0" w:right="0" w:firstLine="0"/>
                      <w:jc w:val="left"/>
                      <w:rPr>
                        <w:sz w:val="20"/>
                      </w:rPr>
                    </w:pPr>
                    <w:r>
                      <w:rPr>
                        <w:w w:val="90"/>
                        <w:sz w:val="20"/>
                      </w:rPr>
                      <w:t>0.0</w:t>
                    </w:r>
                  </w:p>
                </w:txbxContent>
              </v:textbox>
              <w10:wrap type="none"/>
            </v:shape>
            <v:shape style="position:absolute;left:5572;top:5793;width:260;height:200" type="#_x0000_t202" filled="false" stroked="false">
              <v:textbox inset="0,0,0,0">
                <w:txbxContent>
                  <w:p>
                    <w:pPr>
                      <w:spacing w:line="199" w:lineRule="exact" w:before="0"/>
                      <w:ind w:left="0" w:right="0" w:firstLine="0"/>
                      <w:jc w:val="left"/>
                      <w:rPr>
                        <w:sz w:val="20"/>
                      </w:rPr>
                    </w:pPr>
                    <w:r>
                      <w:rPr>
                        <w:color w:val="FFFFFF"/>
                        <w:sz w:val="20"/>
                      </w:rPr>
                      <w:t>7</w:t>
                    </w:r>
                    <w:r>
                      <w:rPr>
                        <w:color w:val="FFFFFF"/>
                        <w:spacing w:val="-32"/>
                        <w:sz w:val="20"/>
                      </w:rPr>
                      <w:t> </w:t>
                    </w:r>
                    <w:r>
                      <w:rPr>
                        <w:color w:val="FFFFFF"/>
                        <w:sz w:val="20"/>
                      </w:rPr>
                      <w:t>4</w:t>
                    </w:r>
                  </w:p>
                </w:txbxContent>
              </v:textbox>
              <w10:wrap type="none"/>
            </v:shape>
            <v:shape style="position:absolute;left:5572;top:5695;width:161;height:200" type="#_x0000_t202" filled="false" stroked="false">
              <v:textbox inset="0,0,0,0">
                <w:txbxContent>
                  <w:p>
                    <w:pPr>
                      <w:spacing w:line="199" w:lineRule="exact" w:before="0"/>
                      <w:ind w:left="0" w:right="0" w:firstLine="0"/>
                      <w:jc w:val="left"/>
                      <w:rPr>
                        <w:sz w:val="20"/>
                      </w:rPr>
                    </w:pPr>
                    <w:r>
                      <w:rPr>
                        <w:w w:val="89"/>
                        <w:sz w:val="20"/>
                      </w:rPr>
                      <w:t>0</w:t>
                    </w:r>
                    <w:r>
                      <w:rPr>
                        <w:emboss/>
                        <w:w w:val="72"/>
                        <w:sz w:val="20"/>
                      </w:rPr>
                      <w:t>.</w:t>
                    </w:r>
                    <w:r>
                      <w:rPr>
                        <w:shadow w:val="0"/>
                        <w:spacing w:val="-100"/>
                        <w:w w:val="89"/>
                        <w:sz w:val="20"/>
                      </w:rPr>
                      <w:t>0</w:t>
                    </w:r>
                  </w:p>
                </w:txbxContent>
              </v:textbox>
              <w10:wrap type="none"/>
            </v:shape>
            <v:shape style="position:absolute;left:4427;top:5695;width:360;height:445" type="#_x0000_t202" filled="false" stroked="false">
              <v:textbox inset="0,0,0,0">
                <w:txbxContent>
                  <w:p>
                    <w:pPr>
                      <w:spacing w:line="214" w:lineRule="exact" w:before="0"/>
                      <w:ind w:left="50" w:right="0" w:firstLine="0"/>
                      <w:jc w:val="left"/>
                      <w:rPr>
                        <w:sz w:val="20"/>
                      </w:rPr>
                    </w:pPr>
                    <w:r>
                      <w:rPr>
                        <w:w w:val="95"/>
                        <w:sz w:val="20"/>
                      </w:rPr>
                      <w:t>0.0</w:t>
                    </w:r>
                  </w:p>
                  <w:p>
                    <w:pPr>
                      <w:spacing w:line="230" w:lineRule="exact" w:before="0"/>
                      <w:ind w:left="0" w:right="0" w:firstLine="0"/>
                      <w:jc w:val="left"/>
                      <w:rPr>
                        <w:sz w:val="20"/>
                      </w:rPr>
                    </w:pPr>
                    <w:r>
                      <w:rPr>
                        <w:color w:val="FFFFFF"/>
                        <w:w w:val="90"/>
                        <w:sz w:val="20"/>
                      </w:rPr>
                      <w:t>18.2</w:t>
                    </w:r>
                  </w:p>
                </w:txbxContent>
              </v:textbox>
              <w10:wrap type="none"/>
            </v:shape>
            <v:shape style="position:absolute;left:3333;top:5844;width:360;height:500" type="#_x0000_t202" filled="false" stroked="false">
              <v:textbox inset="0,0,0,0">
                <w:txbxContent>
                  <w:p>
                    <w:pPr>
                      <w:spacing w:line="225" w:lineRule="exact" w:before="0"/>
                      <w:ind w:left="0" w:right="0" w:firstLine="0"/>
                      <w:jc w:val="left"/>
                      <w:rPr>
                        <w:sz w:val="20"/>
                      </w:rPr>
                    </w:pPr>
                    <w:r>
                      <w:rPr>
                        <w:w w:val="90"/>
                        <w:sz w:val="20"/>
                      </w:rPr>
                      <w:t>11.1</w:t>
                    </w:r>
                  </w:p>
                  <w:p>
                    <w:pPr>
                      <w:spacing w:line="242" w:lineRule="exact" w:before="32"/>
                      <w:ind w:left="0" w:right="0" w:firstLine="0"/>
                      <w:jc w:val="left"/>
                      <w:rPr>
                        <w:sz w:val="20"/>
                      </w:rPr>
                    </w:pPr>
                    <w:r>
                      <w:rPr>
                        <w:color w:val="FFFFFF"/>
                        <w:w w:val="90"/>
                        <w:sz w:val="20"/>
                      </w:rPr>
                      <w:t>11.1</w:t>
                    </w:r>
                  </w:p>
                </w:txbxContent>
              </v:textbox>
              <w10:wrap type="none"/>
            </v:shape>
            <v:shape style="position:absolute;left:5085;top:5108;width:194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95"/>
                        <w:sz w:val="23"/>
                      </w:rPr>
                      <w:t>家計関連の内訳</w:t>
                    </w:r>
                    <w:r>
                      <w:rPr>
                        <w:rFonts w:ascii="Heiti SC" w:eastAsia="Heiti SC" w:hint="eastAsia"/>
                        <w:b/>
                        <w:w w:val="80"/>
                        <w:sz w:val="23"/>
                      </w:rPr>
                      <w:t>）</w:t>
                    </w:r>
                  </w:p>
                </w:txbxContent>
              </v:textbox>
              <w10:wrap type="none"/>
            </v:shape>
            <w10:wrap type="topAndBottom"/>
          </v:group>
        </w:pict>
      </w:r>
    </w:p>
    <w:p>
      <w:pPr>
        <w:pStyle w:val="BodyText"/>
        <w:rPr>
          <w:sz w:val="29"/>
        </w:rPr>
      </w:pPr>
    </w:p>
    <w:p>
      <w:pPr>
        <w:spacing w:after="0"/>
        <w:rPr>
          <w:sz w:val="29"/>
        </w:rPr>
        <w:sectPr>
          <w:type w:val="continuous"/>
          <w:pgSz w:w="11900" w:h="16840"/>
          <w:pgMar w:top="1600" w:bottom="960" w:left="1020" w:right="1020"/>
        </w:sectPr>
      </w:pPr>
    </w:p>
    <w:p>
      <w:pPr>
        <w:spacing w:before="21"/>
        <w:ind w:left="163" w:right="0" w:firstLine="0"/>
        <w:jc w:val="left"/>
        <w:rPr>
          <w:sz w:val="24"/>
        </w:rPr>
      </w:pPr>
      <w:r>
        <w:rPr>
          <w:sz w:val="24"/>
        </w:rPr>
        <w:t>４．東日本大震災からの景気の回復程度の判断理由</w:t>
      </w:r>
    </w:p>
    <w:p>
      <w:pPr>
        <w:pStyle w:val="BodyText"/>
        <w:spacing w:before="2"/>
        <w:rPr>
          <w:sz w:val="1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453"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453"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453"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453"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453"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80"/>
              <w:ind w:left="153" w:right="115" w:firstLine="220"/>
              <w:rPr>
                <w:sz w:val="22"/>
              </w:rPr>
            </w:pPr>
            <w:r>
              <w:rPr>
                <w:sz w:val="22"/>
              </w:rPr>
              <w:t>震 災 前 を 上回っている</w:t>
            </w:r>
          </w:p>
        </w:tc>
        <w:tc>
          <w:tcPr>
            <w:tcW w:w="511" w:type="dxa"/>
            <w:vMerge w:val="restart"/>
          </w:tcPr>
          <w:p>
            <w:pPr>
              <w:pStyle w:val="TableParagraph"/>
              <w:spacing w:before="174"/>
              <w:ind w:left="62"/>
              <w:rPr>
                <w:sz w:val="20"/>
              </w:rPr>
            </w:pPr>
            <w:r>
              <w:rPr>
                <w:sz w:val="20"/>
              </w:rPr>
              <w:t>家計</w:t>
            </w:r>
          </w:p>
        </w:tc>
        <w:tc>
          <w:tcPr>
            <w:tcW w:w="511" w:type="dxa"/>
          </w:tcPr>
          <w:p>
            <w:pPr>
              <w:pStyle w:val="TableParagraph"/>
              <w:spacing w:before="174"/>
              <w:ind w:right="26"/>
              <w:jc w:val="right"/>
              <w:rPr>
                <w:sz w:val="20"/>
              </w:rPr>
            </w:pPr>
            <w:r>
              <w:rPr>
                <w:sz w:val="20"/>
              </w:rPr>
              <w:t>東青</w:t>
            </w:r>
          </w:p>
        </w:tc>
        <w:tc>
          <w:tcPr>
            <w:tcW w:w="1173" w:type="dxa"/>
          </w:tcPr>
          <w:p>
            <w:pPr>
              <w:pStyle w:val="TableParagraph"/>
              <w:spacing w:before="174"/>
              <w:ind w:left="74" w:right="39"/>
              <w:jc w:val="center"/>
              <w:rPr>
                <w:sz w:val="20"/>
              </w:rPr>
            </w:pPr>
            <w:r>
              <w:rPr>
                <w:sz w:val="20"/>
              </w:rPr>
              <w:t>百貨店</w:t>
            </w:r>
          </w:p>
        </w:tc>
        <w:tc>
          <w:tcPr>
            <w:tcW w:w="5795" w:type="dxa"/>
          </w:tcPr>
          <w:p>
            <w:pPr>
              <w:pStyle w:val="TableParagraph"/>
              <w:spacing w:before="174"/>
              <w:ind w:left="36"/>
              <w:rPr>
                <w:sz w:val="20"/>
              </w:rPr>
            </w:pPr>
            <w:r>
              <w:rPr>
                <w:sz w:val="20"/>
              </w:rPr>
              <w:t>他の百貨店の経営破綻による影響が大きい。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コンビニ</w:t>
            </w:r>
          </w:p>
        </w:tc>
        <w:tc>
          <w:tcPr>
            <w:tcW w:w="5795" w:type="dxa"/>
          </w:tcPr>
          <w:p>
            <w:pPr>
              <w:pStyle w:val="TableParagraph"/>
              <w:spacing w:before="174"/>
              <w:ind w:left="36"/>
              <w:rPr>
                <w:sz w:val="20"/>
              </w:rPr>
            </w:pPr>
            <w:r>
              <w:rPr>
                <w:sz w:val="20"/>
              </w:rPr>
              <w:t>震災復興のため。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家電量販店</w:t>
            </w:r>
          </w:p>
        </w:tc>
        <w:tc>
          <w:tcPr>
            <w:tcW w:w="5795" w:type="dxa"/>
          </w:tcPr>
          <w:p>
            <w:pPr>
              <w:pStyle w:val="TableParagraph"/>
              <w:spacing w:line="199" w:lineRule="auto" w:before="100"/>
              <w:ind w:left="36" w:right="93"/>
              <w:rPr>
                <w:sz w:val="20"/>
              </w:rPr>
            </w:pPr>
            <w:r>
              <w:rPr>
                <w:w w:val="99"/>
                <w:sz w:val="20"/>
              </w:rPr>
              <w:t>震災需要とは別に、ＴＶのアナログ停波の影響で店は</w:t>
            </w:r>
            <w:r>
              <w:rPr>
                <w:w w:val="89"/>
                <w:sz w:val="20"/>
              </w:rPr>
              <w:t>1</w:t>
            </w:r>
            <w:r>
              <w:rPr>
                <w:w w:val="179"/>
                <w:sz w:val="20"/>
              </w:rPr>
              <w:t>.</w:t>
            </w:r>
            <w:r>
              <w:rPr>
                <w:w w:val="89"/>
                <w:sz w:val="20"/>
              </w:rPr>
              <w:t>5</w:t>
            </w:r>
            <w:r>
              <w:rPr>
                <w:w w:val="99"/>
                <w:sz w:val="20"/>
              </w:rPr>
              <w:t>～</w:t>
            </w:r>
            <w:r>
              <w:rPr>
                <w:w w:val="89"/>
                <w:sz w:val="20"/>
              </w:rPr>
              <w:t>2</w:t>
            </w:r>
            <w:r>
              <w:rPr>
                <w:w w:val="99"/>
                <w:sz w:val="20"/>
              </w:rPr>
              <w:t>倍</w:t>
            </w:r>
            <w:r>
              <w:rPr>
                <w:sz w:val="20"/>
              </w:rPr>
              <w:t>の売上げ。</w:t>
            </w:r>
          </w:p>
        </w:tc>
      </w:tr>
      <w:tr>
        <w:trPr>
          <w:trHeight w:val="796" w:hRule="atLeast"/>
        </w:trPr>
        <w:tc>
          <w:tcPr>
            <w:tcW w:w="1615" w:type="dxa"/>
            <w:vMerge w:val="restart"/>
          </w:tcPr>
          <w:p>
            <w:pPr>
              <w:pStyle w:val="TableParagraph"/>
              <w:spacing w:line="199" w:lineRule="auto" w:before="162"/>
              <w:ind w:left="263" w:right="4" w:hanging="221"/>
              <w:rPr>
                <w:sz w:val="22"/>
              </w:rPr>
            </w:pPr>
            <w:r>
              <w:rPr>
                <w:sz w:val="22"/>
              </w:rPr>
              <w:t>震災前をやや上回っている</w:t>
            </w:r>
          </w:p>
        </w:tc>
        <w:tc>
          <w:tcPr>
            <w:tcW w:w="511" w:type="dxa"/>
            <w:vMerge w:val="restart"/>
          </w:tcPr>
          <w:p>
            <w:pPr>
              <w:pStyle w:val="TableParagraph"/>
              <w:spacing w:before="1"/>
              <w:rPr>
                <w:sz w:val="19"/>
              </w:rPr>
            </w:pPr>
          </w:p>
          <w:p>
            <w:pPr>
              <w:pStyle w:val="TableParagraph"/>
              <w:ind w:left="62"/>
              <w:rPr>
                <w:sz w:val="20"/>
              </w:rPr>
            </w:pPr>
            <w:r>
              <w:rPr>
                <w:sz w:val="20"/>
              </w:rPr>
              <w:t>家計</w:t>
            </w:r>
          </w:p>
        </w:tc>
        <w:tc>
          <w:tcPr>
            <w:tcW w:w="511" w:type="dxa"/>
          </w:tcPr>
          <w:p>
            <w:pPr>
              <w:pStyle w:val="TableParagraph"/>
              <w:spacing w:before="1"/>
              <w:rPr>
                <w:sz w:val="19"/>
              </w:rPr>
            </w:pPr>
          </w:p>
          <w:p>
            <w:pPr>
              <w:pStyle w:val="TableParagraph"/>
              <w:ind w:right="26"/>
              <w:jc w:val="right"/>
              <w:rPr>
                <w:sz w:val="20"/>
              </w:rPr>
            </w:pPr>
            <w:r>
              <w:rPr>
                <w:sz w:val="20"/>
              </w:rPr>
              <w:t>東青</w:t>
            </w:r>
          </w:p>
        </w:tc>
        <w:tc>
          <w:tcPr>
            <w:tcW w:w="1173" w:type="dxa"/>
          </w:tcPr>
          <w:p>
            <w:pPr>
              <w:pStyle w:val="TableParagraph"/>
              <w:spacing w:before="1"/>
              <w:rPr>
                <w:sz w:val="19"/>
              </w:rPr>
            </w:pPr>
          </w:p>
          <w:p>
            <w:pPr>
              <w:pStyle w:val="TableParagraph"/>
              <w:ind w:left="74" w:right="39"/>
              <w:jc w:val="center"/>
              <w:rPr>
                <w:sz w:val="20"/>
              </w:rPr>
            </w:pPr>
            <w:r>
              <w:rPr>
                <w:sz w:val="20"/>
              </w:rPr>
              <w:t>商店街</w:t>
            </w:r>
          </w:p>
        </w:tc>
        <w:tc>
          <w:tcPr>
            <w:tcW w:w="5795" w:type="dxa"/>
          </w:tcPr>
          <w:p>
            <w:pPr>
              <w:pStyle w:val="TableParagraph"/>
              <w:spacing w:line="199" w:lineRule="auto" w:before="69"/>
              <w:ind w:left="36" w:right="93"/>
              <w:jc w:val="both"/>
              <w:rPr>
                <w:sz w:val="20"/>
              </w:rPr>
            </w:pPr>
            <w:r>
              <w:rPr>
                <w:sz w:val="20"/>
              </w:rPr>
              <w:t>3月末は商店街として、歳末に次ぐ、2番目の消費の山になる予定でした。その分をカバーするほど消費が盛り上がってはいません。</w:t>
            </w:r>
          </w:p>
        </w:tc>
      </w:tr>
      <w:tr>
        <w:trPr>
          <w:trHeight w:val="143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rPr>
                <w:sz w:val="20"/>
              </w:rPr>
            </w:pPr>
          </w:p>
          <w:p>
            <w:pPr>
              <w:pStyle w:val="TableParagraph"/>
              <w:spacing w:before="12"/>
              <w:rPr>
                <w:sz w:val="22"/>
              </w:rPr>
            </w:pPr>
          </w:p>
          <w:p>
            <w:pPr>
              <w:pStyle w:val="TableParagraph"/>
              <w:ind w:left="62"/>
              <w:rPr>
                <w:sz w:val="20"/>
              </w:rPr>
            </w:pPr>
            <w:r>
              <w:rPr>
                <w:sz w:val="20"/>
              </w:rPr>
              <w:t>津軽</w:t>
            </w:r>
          </w:p>
        </w:tc>
        <w:tc>
          <w:tcPr>
            <w:tcW w:w="1173" w:type="dxa"/>
          </w:tcPr>
          <w:p>
            <w:pPr>
              <w:pStyle w:val="TableParagraph"/>
              <w:rPr>
                <w:sz w:val="20"/>
              </w:rPr>
            </w:pPr>
          </w:p>
          <w:p>
            <w:pPr>
              <w:pStyle w:val="TableParagraph"/>
              <w:spacing w:before="12"/>
              <w:rPr>
                <w:sz w:val="22"/>
              </w:rPr>
            </w:pPr>
          </w:p>
          <w:p>
            <w:pPr>
              <w:pStyle w:val="TableParagraph"/>
              <w:ind w:left="74" w:right="39"/>
              <w:jc w:val="center"/>
              <w:rPr>
                <w:sz w:val="20"/>
              </w:rPr>
            </w:pPr>
            <w:r>
              <w:rPr>
                <w:sz w:val="20"/>
              </w:rPr>
              <w:t>家電量販店</w:t>
            </w:r>
          </w:p>
        </w:tc>
        <w:tc>
          <w:tcPr>
            <w:tcW w:w="5795" w:type="dxa"/>
          </w:tcPr>
          <w:p>
            <w:pPr>
              <w:pStyle w:val="TableParagraph"/>
              <w:spacing w:line="199" w:lineRule="auto" w:before="55"/>
              <w:ind w:left="36" w:right="93"/>
              <w:jc w:val="both"/>
              <w:rPr>
                <w:sz w:val="20"/>
              </w:rPr>
            </w:pPr>
            <w:r>
              <w:rPr>
                <w:sz w:val="20"/>
              </w:rPr>
              <w:t>くしくも震災における特需、国策における特需、省エネ意識からの需要は高まっている。この様な点から比較定義すれば、需要にともなう総売上は増加しているが、将来をうらなう景気高揚の材料は薄い。南欧バブル、国債下落と金利の高騰などの懸念材料が、むしろ多く、景気を短期的にうらなうのも難しいくらいであ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74" w:right="39"/>
              <w:jc w:val="center"/>
              <w:rPr>
                <w:sz w:val="20"/>
              </w:rPr>
            </w:pPr>
            <w:r>
              <w:rPr>
                <w:sz w:val="20"/>
              </w:rPr>
              <w:t>一般飲食店</w:t>
            </w:r>
          </w:p>
        </w:tc>
        <w:tc>
          <w:tcPr>
            <w:tcW w:w="5795" w:type="dxa"/>
          </w:tcPr>
          <w:p>
            <w:pPr>
              <w:pStyle w:val="TableParagraph"/>
              <w:spacing w:line="199" w:lineRule="auto" w:before="69"/>
              <w:ind w:left="36" w:right="93"/>
              <w:jc w:val="both"/>
              <w:rPr>
                <w:sz w:val="20"/>
              </w:rPr>
            </w:pPr>
            <w:r>
              <w:rPr>
                <w:sz w:val="20"/>
              </w:rPr>
              <w:t>来店客が増えて来た。８階にある店なので、震災後、余震が来るとこわいので、８階まで来れなかった、とのお客様の声が多かった。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スーパー</w:t>
            </w:r>
          </w:p>
        </w:tc>
        <w:tc>
          <w:tcPr>
            <w:tcW w:w="5795" w:type="dxa"/>
          </w:tcPr>
          <w:p>
            <w:pPr>
              <w:pStyle w:val="TableParagraph"/>
              <w:spacing w:before="174"/>
              <w:ind w:left="36"/>
              <w:rPr>
                <w:sz w:val="20"/>
              </w:rPr>
            </w:pPr>
            <w:r>
              <w:rPr>
                <w:sz w:val="20"/>
              </w:rPr>
              <w:t>来店客数で３～５％回復しています。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74"/>
              <w:ind w:left="74" w:right="39"/>
              <w:jc w:val="center"/>
              <w:rPr>
                <w:sz w:val="20"/>
              </w:rPr>
            </w:pPr>
            <w:r>
              <w:rPr>
                <w:sz w:val="20"/>
              </w:rPr>
              <w:t>一般飲食店</w:t>
            </w:r>
          </w:p>
        </w:tc>
        <w:tc>
          <w:tcPr>
            <w:tcW w:w="5795" w:type="dxa"/>
          </w:tcPr>
          <w:p>
            <w:pPr>
              <w:pStyle w:val="TableParagraph"/>
              <w:spacing w:before="174"/>
              <w:ind w:left="36"/>
              <w:rPr>
                <w:sz w:val="20"/>
              </w:rPr>
            </w:pPr>
            <w:r>
              <w:rPr>
                <w:sz w:val="20"/>
              </w:rPr>
              <w:t>県外のお客様がお見えになりつつある。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
              <w:rPr>
                <w:sz w:val="19"/>
              </w:rPr>
            </w:pPr>
          </w:p>
          <w:p>
            <w:pPr>
              <w:pStyle w:val="TableParagraph"/>
              <w:ind w:left="74" w:right="39"/>
              <w:jc w:val="center"/>
              <w:rPr>
                <w:sz w:val="20"/>
              </w:rPr>
            </w:pPr>
            <w:r>
              <w:rPr>
                <w:sz w:val="20"/>
              </w:rPr>
              <w:t>パチンコ</w:t>
            </w:r>
          </w:p>
        </w:tc>
        <w:tc>
          <w:tcPr>
            <w:tcW w:w="5795" w:type="dxa"/>
          </w:tcPr>
          <w:p>
            <w:pPr>
              <w:pStyle w:val="TableParagraph"/>
              <w:spacing w:line="199" w:lineRule="auto" w:before="69"/>
              <w:ind w:left="36" w:right="295"/>
              <w:jc w:val="both"/>
              <w:rPr>
                <w:sz w:val="20"/>
              </w:rPr>
            </w:pPr>
            <w:r>
              <w:rPr>
                <w:sz w:val="20"/>
              </w:rPr>
              <w:t>自店だけをみて、震災前より来客数が増え、売上も伸びている。娯楽に使う余裕はないと思うものの、経営戦略がうまくいっているのか、検討しているところである。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企業</w:t>
            </w:r>
          </w:p>
        </w:tc>
        <w:tc>
          <w:tcPr>
            <w:tcW w:w="511" w:type="dxa"/>
          </w:tcPr>
          <w:p>
            <w:pPr>
              <w:pStyle w:val="TableParagraph"/>
              <w:spacing w:before="174"/>
              <w:ind w:right="26"/>
              <w:jc w:val="right"/>
              <w:rPr>
                <w:sz w:val="20"/>
              </w:rPr>
            </w:pPr>
            <w:r>
              <w:rPr>
                <w:sz w:val="20"/>
              </w:rPr>
              <w:t>津軽</w:t>
            </w:r>
          </w:p>
        </w:tc>
        <w:tc>
          <w:tcPr>
            <w:tcW w:w="1173" w:type="dxa"/>
          </w:tcPr>
          <w:p>
            <w:pPr>
              <w:pStyle w:val="TableParagraph"/>
              <w:spacing w:before="174"/>
              <w:ind w:left="74" w:right="39"/>
              <w:jc w:val="center"/>
              <w:rPr>
                <w:sz w:val="20"/>
              </w:rPr>
            </w:pPr>
            <w:r>
              <w:rPr>
                <w:sz w:val="20"/>
              </w:rPr>
              <w:t>飲料品製造</w:t>
            </w:r>
          </w:p>
        </w:tc>
        <w:tc>
          <w:tcPr>
            <w:tcW w:w="5795" w:type="dxa"/>
          </w:tcPr>
          <w:p>
            <w:pPr>
              <w:pStyle w:val="TableParagraph"/>
              <w:spacing w:before="174"/>
              <w:ind w:left="36"/>
              <w:rPr>
                <w:sz w:val="20"/>
              </w:rPr>
            </w:pPr>
            <w:r>
              <w:rPr>
                <w:sz w:val="20"/>
              </w:rPr>
              <w:t>震災時は一時的に落ちたが、徐々に回復して来たと思われる。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74"/>
              <w:ind w:left="62"/>
              <w:rPr>
                <w:sz w:val="20"/>
              </w:rPr>
            </w:pPr>
            <w:r>
              <w:rPr>
                <w:sz w:val="20"/>
              </w:rPr>
              <w:t>県南</w:t>
            </w:r>
          </w:p>
        </w:tc>
        <w:tc>
          <w:tcPr>
            <w:tcW w:w="1173" w:type="dxa"/>
          </w:tcPr>
          <w:p>
            <w:pPr>
              <w:pStyle w:val="TableParagraph"/>
              <w:spacing w:before="174"/>
              <w:ind w:left="74" w:right="39"/>
              <w:jc w:val="center"/>
              <w:rPr>
                <w:sz w:val="20"/>
              </w:rPr>
            </w:pPr>
            <w:r>
              <w:rPr>
                <w:sz w:val="20"/>
              </w:rPr>
              <w:t>食料品製造</w:t>
            </w:r>
          </w:p>
        </w:tc>
        <w:tc>
          <w:tcPr>
            <w:tcW w:w="5795" w:type="dxa"/>
          </w:tcPr>
          <w:p>
            <w:pPr>
              <w:pStyle w:val="TableParagraph"/>
              <w:spacing w:before="174"/>
              <w:ind w:left="36"/>
              <w:rPr>
                <w:sz w:val="20"/>
              </w:rPr>
            </w:pPr>
            <w:r>
              <w:rPr>
                <w:sz w:val="20"/>
              </w:rPr>
              <w:t>震災による代替需要による。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4" w:hanging="404"/>
              <w:rPr>
                <w:sz w:val="20"/>
              </w:rPr>
            </w:pPr>
            <w:r>
              <w:rPr>
                <w:sz w:val="20"/>
              </w:rPr>
              <w:t>電気機械製造</w:t>
            </w:r>
          </w:p>
        </w:tc>
        <w:tc>
          <w:tcPr>
            <w:tcW w:w="5795" w:type="dxa"/>
          </w:tcPr>
          <w:p>
            <w:pPr>
              <w:pStyle w:val="TableParagraph"/>
              <w:spacing w:line="199" w:lineRule="auto" w:before="100"/>
              <w:ind w:left="36" w:right="94"/>
              <w:rPr>
                <w:sz w:val="20"/>
              </w:rPr>
            </w:pPr>
            <w:r>
              <w:rPr>
                <w:sz w:val="20"/>
              </w:rPr>
              <w:t>復興需要があり、製造業として壊れた物の代わりとしての注文が入っている。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93" w:right="54" w:hanging="303"/>
              <w:rPr>
                <w:sz w:val="20"/>
              </w:rPr>
            </w:pPr>
            <w:r>
              <w:rPr>
                <w:sz w:val="20"/>
              </w:rPr>
              <w:t>広告・デザイン</w:t>
            </w:r>
          </w:p>
        </w:tc>
        <w:tc>
          <w:tcPr>
            <w:tcW w:w="5795" w:type="dxa"/>
          </w:tcPr>
          <w:p>
            <w:pPr>
              <w:pStyle w:val="TableParagraph"/>
              <w:spacing w:before="174"/>
              <w:ind w:left="36"/>
              <w:rPr>
                <w:sz w:val="20"/>
              </w:rPr>
            </w:pPr>
            <w:r>
              <w:rPr>
                <w:sz w:val="20"/>
              </w:rPr>
              <w:t>当時があまりにひどすぎました。</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74"/>
              <w:ind w:left="41" w:right="7"/>
              <w:jc w:val="center"/>
              <w:rPr>
                <w:sz w:val="20"/>
              </w:rPr>
            </w:pPr>
            <w:r>
              <w:rPr>
                <w:sz w:val="20"/>
              </w:rPr>
              <w:t>雇用</w:t>
            </w:r>
          </w:p>
        </w:tc>
        <w:tc>
          <w:tcPr>
            <w:tcW w:w="511" w:type="dxa"/>
          </w:tcPr>
          <w:p>
            <w:pPr>
              <w:pStyle w:val="TableParagraph"/>
              <w:spacing w:before="174"/>
              <w:ind w:right="27"/>
              <w:jc w:val="right"/>
              <w:rPr>
                <w:sz w:val="20"/>
              </w:rPr>
            </w:pPr>
            <w:r>
              <w:rPr>
                <w:sz w:val="20"/>
              </w:rPr>
              <w:t>東青</w:t>
            </w:r>
          </w:p>
        </w:tc>
        <w:tc>
          <w:tcPr>
            <w:tcW w:w="1173" w:type="dxa"/>
          </w:tcPr>
          <w:p>
            <w:pPr>
              <w:pStyle w:val="TableParagraph"/>
              <w:spacing w:before="174"/>
              <w:ind w:left="74" w:right="39"/>
              <w:jc w:val="center"/>
              <w:rPr>
                <w:sz w:val="20"/>
              </w:rPr>
            </w:pPr>
            <w:r>
              <w:rPr>
                <w:sz w:val="20"/>
              </w:rPr>
              <w:t>人材派遣</w:t>
            </w:r>
          </w:p>
        </w:tc>
        <w:tc>
          <w:tcPr>
            <w:tcW w:w="5795" w:type="dxa"/>
          </w:tcPr>
          <w:p>
            <w:pPr>
              <w:pStyle w:val="TableParagraph"/>
              <w:spacing w:line="199" w:lineRule="auto" w:before="100"/>
              <w:ind w:left="36" w:right="94"/>
              <w:rPr>
                <w:sz w:val="20"/>
              </w:rPr>
            </w:pPr>
            <w:r>
              <w:rPr>
                <w:sz w:val="20"/>
              </w:rPr>
              <w:t>復興関連の業界を中心に活性がみられることから、震災前よりも回復傾向にあると考えられる。</w:t>
            </w:r>
          </w:p>
        </w:tc>
      </w:tr>
      <w:tr>
        <w:trPr>
          <w:trHeight w:val="632" w:hRule="atLeast"/>
        </w:trPr>
        <w:tc>
          <w:tcPr>
            <w:tcW w:w="1615" w:type="dxa"/>
            <w:vMerge w:val="restart"/>
            <w:tcBorders>
              <w:bottom w:val="nil"/>
            </w:tcBorders>
          </w:tcPr>
          <w:p>
            <w:pPr>
              <w:pStyle w:val="TableParagraph"/>
              <w:spacing w:line="199" w:lineRule="auto" w:before="80"/>
              <w:ind w:left="484" w:right="335" w:hanging="111"/>
              <w:rPr>
                <w:sz w:val="22"/>
              </w:rPr>
            </w:pPr>
            <w:r>
              <w:rPr>
                <w:sz w:val="22"/>
              </w:rPr>
              <w:t>震災前と同程度</w:t>
            </w:r>
          </w:p>
        </w:tc>
        <w:tc>
          <w:tcPr>
            <w:tcW w:w="511" w:type="dxa"/>
            <w:vMerge w:val="restart"/>
            <w:tcBorders>
              <w:bottom w:val="nil"/>
            </w:tcBorders>
          </w:tcPr>
          <w:p>
            <w:pPr>
              <w:pStyle w:val="TableParagraph"/>
              <w:spacing w:before="174"/>
              <w:ind w:left="62"/>
              <w:rPr>
                <w:sz w:val="20"/>
              </w:rPr>
            </w:pPr>
            <w:r>
              <w:rPr>
                <w:sz w:val="20"/>
              </w:rPr>
              <w:t>家計</w:t>
            </w:r>
          </w:p>
        </w:tc>
        <w:tc>
          <w:tcPr>
            <w:tcW w:w="511" w:type="dxa"/>
            <w:vMerge w:val="restart"/>
            <w:tcBorders>
              <w:bottom w:val="nil"/>
            </w:tcBorders>
          </w:tcPr>
          <w:p>
            <w:pPr>
              <w:pStyle w:val="TableParagraph"/>
              <w:spacing w:before="174"/>
              <w:ind w:left="62"/>
              <w:rPr>
                <w:sz w:val="20"/>
              </w:rPr>
            </w:pPr>
            <w:r>
              <w:rPr>
                <w:sz w:val="20"/>
              </w:rPr>
              <w:t>東青</w:t>
            </w:r>
          </w:p>
        </w:tc>
        <w:tc>
          <w:tcPr>
            <w:tcW w:w="1173" w:type="dxa"/>
          </w:tcPr>
          <w:p>
            <w:pPr>
              <w:pStyle w:val="TableParagraph"/>
              <w:spacing w:before="174"/>
              <w:ind w:left="74" w:right="39"/>
              <w:jc w:val="center"/>
              <w:rPr>
                <w:sz w:val="20"/>
              </w:rPr>
            </w:pPr>
            <w:r>
              <w:rPr>
                <w:sz w:val="20"/>
              </w:rPr>
              <w:t>スーパー</w:t>
            </w:r>
          </w:p>
        </w:tc>
        <w:tc>
          <w:tcPr>
            <w:tcW w:w="5795" w:type="dxa"/>
          </w:tcPr>
          <w:p>
            <w:pPr>
              <w:pStyle w:val="TableParagraph"/>
              <w:spacing w:before="174"/>
              <w:ind w:left="36"/>
              <w:rPr>
                <w:sz w:val="20"/>
              </w:rPr>
            </w:pPr>
            <w:r>
              <w:rPr>
                <w:sz w:val="20"/>
              </w:rPr>
              <w:t>震災前とくらべて大きな伸びはない。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74"/>
              <w:ind w:left="74" w:right="39"/>
              <w:jc w:val="center"/>
              <w:rPr>
                <w:sz w:val="20"/>
              </w:rPr>
            </w:pPr>
            <w:r>
              <w:rPr>
                <w:sz w:val="20"/>
              </w:rPr>
              <w:t>家電量販店</w:t>
            </w:r>
          </w:p>
        </w:tc>
        <w:tc>
          <w:tcPr>
            <w:tcW w:w="5795" w:type="dxa"/>
          </w:tcPr>
          <w:p>
            <w:pPr>
              <w:pStyle w:val="TableParagraph"/>
              <w:spacing w:line="199" w:lineRule="auto" w:before="100"/>
              <w:ind w:left="36" w:right="93"/>
              <w:rPr>
                <w:sz w:val="20"/>
              </w:rPr>
            </w:pPr>
            <w:r>
              <w:rPr>
                <w:sz w:val="20"/>
              </w:rPr>
              <w:t>一時、生活必需品中心に価格に関係なく買い占めするお客様が増加したが、それも一巡した。</w:t>
            </w:r>
          </w:p>
        </w:tc>
      </w:tr>
      <w:tr>
        <w:trPr>
          <w:trHeight w:val="105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before="10"/>
              <w:rPr>
                <w:sz w:val="28"/>
              </w:rPr>
            </w:pPr>
          </w:p>
          <w:p>
            <w:pPr>
              <w:pStyle w:val="TableParagraph"/>
              <w:ind w:left="74" w:right="39"/>
              <w:jc w:val="center"/>
              <w:rPr>
                <w:sz w:val="20"/>
              </w:rPr>
            </w:pPr>
            <w:r>
              <w:rPr>
                <w:sz w:val="20"/>
              </w:rPr>
              <w:t>スナック</w:t>
            </w:r>
          </w:p>
        </w:tc>
        <w:tc>
          <w:tcPr>
            <w:tcW w:w="5795" w:type="dxa"/>
          </w:tcPr>
          <w:p>
            <w:pPr>
              <w:pStyle w:val="TableParagraph"/>
              <w:spacing w:line="199" w:lineRule="auto" w:before="86"/>
              <w:ind w:left="36" w:right="93"/>
              <w:rPr>
                <w:sz w:val="20"/>
              </w:rPr>
            </w:pPr>
            <w:r>
              <w:rPr>
                <w:sz w:val="20"/>
              </w:rPr>
              <w:t>もともと不景気で大変な毎日でしたのに、あげく地震、津波、原発とそれこそ踏んだり蹴ったりですね。回復までまだまだ時間がかかる事と思いますが、いつまでもめげてはいられませ ん。悩みながら、頑張るしか有りません。</w:t>
            </w:r>
          </w:p>
        </w:tc>
      </w:tr>
    </w:tbl>
    <w:p>
      <w:pPr>
        <w:spacing w:after="0" w:line="199" w:lineRule="auto"/>
        <w:rPr>
          <w:sz w:val="20"/>
        </w:rPr>
        <w:sectPr>
          <w:footerReference w:type="default" r:id="rId9"/>
          <w:pgSz w:w="11900" w:h="16840"/>
          <w:pgMar w:footer="715" w:header="0" w:top="1280" w:bottom="900" w:left="1020" w:right="1020"/>
          <w:pgNumType w:start="32"/>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446"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446"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446"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446"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44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3"/>
              <w:ind w:left="484" w:right="335" w:hanging="111"/>
              <w:rPr>
                <w:sz w:val="22"/>
              </w:rPr>
            </w:pPr>
            <w:r>
              <w:rPr>
                <w:sz w:val="22"/>
              </w:rPr>
              <w:t>震災前と同程度</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競輪場</w:t>
            </w:r>
          </w:p>
        </w:tc>
        <w:tc>
          <w:tcPr>
            <w:tcW w:w="5795" w:type="dxa"/>
          </w:tcPr>
          <w:p>
            <w:pPr>
              <w:pStyle w:val="TableParagraph"/>
              <w:spacing w:before="167"/>
              <w:ind w:left="36"/>
              <w:rPr>
                <w:sz w:val="20"/>
              </w:rPr>
            </w:pPr>
            <w:r>
              <w:rPr>
                <w:sz w:val="20"/>
              </w:rPr>
              <w:t>特に変わった動きが見られず同程度。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設計事務所</w:t>
            </w:r>
          </w:p>
        </w:tc>
        <w:tc>
          <w:tcPr>
            <w:tcW w:w="5795" w:type="dxa"/>
          </w:tcPr>
          <w:p>
            <w:pPr>
              <w:pStyle w:val="TableParagraph"/>
              <w:spacing w:line="199" w:lineRule="auto" w:before="93"/>
              <w:ind w:left="36" w:right="93"/>
              <w:rPr>
                <w:sz w:val="20"/>
              </w:rPr>
            </w:pPr>
            <w:r>
              <w:rPr>
                <w:sz w:val="20"/>
              </w:rPr>
              <w:t>地域内は震災による影響がなく、直接的変化は見られない。建築資材入荷も通常に戻りつつある。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494" w:right="54" w:hanging="404"/>
              <w:rPr>
                <w:sz w:val="20"/>
              </w:rPr>
            </w:pPr>
            <w:r>
              <w:rPr>
                <w:sz w:val="20"/>
              </w:rPr>
              <w:t>住宅建設販売</w:t>
            </w:r>
          </w:p>
        </w:tc>
        <w:tc>
          <w:tcPr>
            <w:tcW w:w="5795" w:type="dxa"/>
          </w:tcPr>
          <w:p>
            <w:pPr>
              <w:pStyle w:val="TableParagraph"/>
              <w:spacing w:line="199" w:lineRule="auto" w:before="62"/>
              <w:ind w:left="36" w:right="93"/>
              <w:jc w:val="both"/>
              <w:rPr>
                <w:sz w:val="20"/>
              </w:rPr>
            </w:pPr>
            <w:r>
              <w:rPr>
                <w:sz w:val="20"/>
              </w:rPr>
              <w:t>これまで建材の仕入に難航して落込みが大きかっただけに、上回っているように感じるが、実際は、元に戻っただけである。数字上。</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乗用車販売</w:t>
            </w:r>
          </w:p>
        </w:tc>
        <w:tc>
          <w:tcPr>
            <w:tcW w:w="5795" w:type="dxa"/>
          </w:tcPr>
          <w:p>
            <w:pPr>
              <w:pStyle w:val="TableParagraph"/>
              <w:spacing w:line="199" w:lineRule="auto" w:before="93"/>
              <w:ind w:left="36" w:right="94"/>
              <w:rPr>
                <w:sz w:val="20"/>
              </w:rPr>
            </w:pPr>
            <w:r>
              <w:rPr>
                <w:sz w:val="20"/>
              </w:rPr>
              <w:t>生産の回復はしているものの震災前と同程度の需要となっている。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レストラン</w:t>
            </w:r>
          </w:p>
        </w:tc>
        <w:tc>
          <w:tcPr>
            <w:tcW w:w="5795" w:type="dxa"/>
          </w:tcPr>
          <w:p>
            <w:pPr>
              <w:pStyle w:val="TableParagraph"/>
              <w:spacing w:line="199" w:lineRule="auto" w:before="93"/>
              <w:ind w:left="36" w:right="94"/>
              <w:rPr>
                <w:sz w:val="20"/>
              </w:rPr>
            </w:pPr>
            <w:r>
              <w:rPr>
                <w:sz w:val="20"/>
              </w:rPr>
              <w:t>底のままで行くのかと思っていたが、思ったより回復が早かった。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before="167"/>
              <w:ind w:left="36"/>
              <w:rPr>
                <w:sz w:val="20"/>
              </w:rPr>
            </w:pPr>
            <w:r>
              <w:rPr>
                <w:sz w:val="20"/>
              </w:rPr>
              <w:t>売上から判断</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line="199" w:lineRule="auto" w:before="93"/>
              <w:ind w:left="36" w:right="93"/>
              <w:rPr>
                <w:sz w:val="20"/>
              </w:rPr>
            </w:pPr>
            <w:r>
              <w:rPr>
                <w:sz w:val="20"/>
              </w:rPr>
              <w:t>昨年の新幹線開通の効果も短期的で、震災後は、観光客など消費に力が見られない。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設計事務所</w:t>
            </w:r>
          </w:p>
        </w:tc>
        <w:tc>
          <w:tcPr>
            <w:tcW w:w="5795" w:type="dxa"/>
          </w:tcPr>
          <w:p>
            <w:pPr>
              <w:pStyle w:val="TableParagraph"/>
              <w:spacing w:line="199" w:lineRule="auto" w:before="93"/>
              <w:ind w:left="36" w:right="93"/>
              <w:rPr>
                <w:sz w:val="20"/>
              </w:rPr>
            </w:pPr>
            <w:r>
              <w:rPr>
                <w:sz w:val="20"/>
              </w:rPr>
              <w:t>政治の混乱で何も前に進んでいないし、むしろ後退している感がある。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百貨店</w:t>
            </w:r>
          </w:p>
        </w:tc>
        <w:tc>
          <w:tcPr>
            <w:tcW w:w="5795" w:type="dxa"/>
          </w:tcPr>
          <w:p>
            <w:pPr>
              <w:pStyle w:val="TableParagraph"/>
              <w:spacing w:line="199" w:lineRule="auto" w:before="93"/>
              <w:ind w:left="36" w:right="94"/>
              <w:rPr>
                <w:sz w:val="20"/>
              </w:rPr>
            </w:pPr>
            <w:r>
              <w:rPr>
                <w:sz w:val="20"/>
              </w:rPr>
              <w:t>主力産業の早期復興と雇用情勢の安定が課題。贅沢をひかえる傾向が続き、消費回復はもっと先になるのではないか。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衣料専門店</w:t>
            </w:r>
          </w:p>
        </w:tc>
        <w:tc>
          <w:tcPr>
            <w:tcW w:w="5795" w:type="dxa"/>
          </w:tcPr>
          <w:p>
            <w:pPr>
              <w:pStyle w:val="TableParagraph"/>
              <w:spacing w:before="167"/>
              <w:ind w:left="36"/>
              <w:rPr>
                <w:sz w:val="20"/>
              </w:rPr>
            </w:pPr>
            <w:r>
              <w:rPr>
                <w:sz w:val="20"/>
              </w:rPr>
              <w:t>震災前から景気が良くなかった。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レストラン</w:t>
            </w:r>
          </w:p>
        </w:tc>
        <w:tc>
          <w:tcPr>
            <w:tcW w:w="5795" w:type="dxa"/>
          </w:tcPr>
          <w:p>
            <w:pPr>
              <w:pStyle w:val="TableParagraph"/>
              <w:spacing w:line="199" w:lineRule="auto" w:before="93"/>
              <w:ind w:left="36" w:right="94"/>
              <w:rPr>
                <w:sz w:val="20"/>
              </w:rPr>
            </w:pPr>
            <w:r>
              <w:rPr>
                <w:sz w:val="20"/>
              </w:rPr>
              <w:t>飲食店は、最近になって、震災前程度にお客様が戻って来ています。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before="167"/>
              <w:ind w:left="36"/>
              <w:rPr>
                <w:sz w:val="20"/>
              </w:rPr>
            </w:pPr>
            <w:r>
              <w:rPr>
                <w:sz w:val="20"/>
              </w:rPr>
              <w:t>７月には前年実績に着地予測。</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観光名所等</w:t>
            </w:r>
          </w:p>
        </w:tc>
        <w:tc>
          <w:tcPr>
            <w:tcW w:w="5795" w:type="dxa"/>
          </w:tcPr>
          <w:p>
            <w:pPr>
              <w:pStyle w:val="TableParagraph"/>
              <w:spacing w:line="199" w:lineRule="auto" w:before="93"/>
              <w:ind w:left="36" w:right="94"/>
              <w:rPr>
                <w:sz w:val="20"/>
              </w:rPr>
            </w:pPr>
            <w:r>
              <w:rPr>
                <w:sz w:val="20"/>
              </w:rPr>
              <w:t>今の時期が、一年で一番賑わう時期ですが、駐車場がいっぱいになる日もあったりします。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設計事務所</w:t>
            </w:r>
          </w:p>
        </w:tc>
        <w:tc>
          <w:tcPr>
            <w:tcW w:w="5795" w:type="dxa"/>
          </w:tcPr>
          <w:p>
            <w:pPr>
              <w:pStyle w:val="TableParagraph"/>
              <w:spacing w:before="167"/>
              <w:ind w:left="36"/>
              <w:rPr>
                <w:sz w:val="20"/>
              </w:rPr>
            </w:pPr>
            <w:r>
              <w:rPr>
                <w:sz w:val="20"/>
              </w:rPr>
              <w:t>自粛がやっと済み、安心しました。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before="167"/>
              <w:ind w:left="74" w:right="39"/>
              <w:jc w:val="center"/>
              <w:rPr>
                <w:sz w:val="20"/>
              </w:rPr>
            </w:pPr>
            <w:r>
              <w:rPr>
                <w:sz w:val="20"/>
              </w:rPr>
              <w:t>一般小売店</w:t>
            </w:r>
          </w:p>
        </w:tc>
        <w:tc>
          <w:tcPr>
            <w:tcW w:w="5795" w:type="dxa"/>
          </w:tcPr>
          <w:p>
            <w:pPr>
              <w:pStyle w:val="TableParagraph"/>
              <w:spacing w:line="199" w:lineRule="auto" w:before="93"/>
              <w:ind w:left="36" w:right="396"/>
              <w:rPr>
                <w:sz w:val="20"/>
              </w:rPr>
            </w:pPr>
            <w:r>
              <w:rPr>
                <w:sz w:val="20"/>
              </w:rPr>
              <w:t>売上、客数も6月ぐらいから平年（前年）並になってきました。4月、5月は数字的に見て厳しかったです。</w:t>
            </w:r>
          </w:p>
        </w:tc>
      </w:tr>
      <w:tr>
        <w:trPr>
          <w:trHeight w:val="796" w:hRule="atLeast"/>
        </w:trPr>
        <w:tc>
          <w:tcPr>
            <w:tcW w:w="1615" w:type="dxa"/>
            <w:vMerge/>
            <w:tcBorders>
              <w:top w:val="nil"/>
            </w:tcBorders>
          </w:tcPr>
          <w:p>
            <w:pPr>
              <w:rPr>
                <w:sz w:val="2"/>
                <w:szCs w:val="2"/>
              </w:rPr>
            </w:pPr>
          </w:p>
        </w:tc>
        <w:tc>
          <w:tcPr>
            <w:tcW w:w="511" w:type="dxa"/>
            <w:vMerge w:val="restart"/>
          </w:tcPr>
          <w:p>
            <w:pPr>
              <w:pStyle w:val="TableParagraph"/>
              <w:spacing w:before="7"/>
              <w:rPr>
                <w:sz w:val="18"/>
              </w:rPr>
            </w:pPr>
          </w:p>
          <w:p>
            <w:pPr>
              <w:pStyle w:val="TableParagraph"/>
              <w:spacing w:before="1"/>
              <w:ind w:left="62"/>
              <w:rPr>
                <w:sz w:val="20"/>
              </w:rPr>
            </w:pPr>
            <w:r>
              <w:rPr>
                <w:sz w:val="20"/>
              </w:rPr>
              <w:t>企業</w:t>
            </w:r>
          </w:p>
        </w:tc>
        <w:tc>
          <w:tcPr>
            <w:tcW w:w="511" w:type="dxa"/>
          </w:tcPr>
          <w:p>
            <w:pPr>
              <w:pStyle w:val="TableParagraph"/>
              <w:spacing w:before="7"/>
              <w:rPr>
                <w:sz w:val="18"/>
              </w:rPr>
            </w:pPr>
          </w:p>
          <w:p>
            <w:pPr>
              <w:pStyle w:val="TableParagraph"/>
              <w:spacing w:before="1"/>
              <w:ind w:right="27"/>
              <w:jc w:val="right"/>
              <w:rPr>
                <w:sz w:val="20"/>
              </w:rPr>
            </w:pPr>
            <w:r>
              <w:rPr>
                <w:sz w:val="20"/>
              </w:rPr>
              <w:t>東青</w:t>
            </w:r>
          </w:p>
        </w:tc>
        <w:tc>
          <w:tcPr>
            <w:tcW w:w="1173" w:type="dxa"/>
          </w:tcPr>
          <w:p>
            <w:pPr>
              <w:pStyle w:val="TableParagraph"/>
              <w:spacing w:before="7"/>
              <w:rPr>
                <w:sz w:val="18"/>
              </w:rPr>
            </w:pPr>
          </w:p>
          <w:p>
            <w:pPr>
              <w:pStyle w:val="TableParagraph"/>
              <w:spacing w:before="1"/>
              <w:ind w:left="74" w:right="39"/>
              <w:jc w:val="center"/>
              <w:rPr>
                <w:sz w:val="20"/>
              </w:rPr>
            </w:pPr>
            <w:r>
              <w:rPr>
                <w:sz w:val="20"/>
              </w:rPr>
              <w:t>建設</w:t>
            </w:r>
          </w:p>
        </w:tc>
        <w:tc>
          <w:tcPr>
            <w:tcW w:w="5795" w:type="dxa"/>
          </w:tcPr>
          <w:p>
            <w:pPr>
              <w:pStyle w:val="TableParagraph"/>
              <w:spacing w:line="199" w:lineRule="auto" w:before="62"/>
              <w:ind w:left="36" w:right="93"/>
              <w:jc w:val="both"/>
              <w:rPr>
                <w:sz w:val="20"/>
              </w:rPr>
            </w:pPr>
            <w:r>
              <w:rPr>
                <w:sz w:val="20"/>
              </w:rPr>
              <w:t>青森で震災バブルは無い。メディアでも青森県は被災地から外れている。東北の高速道路無料化は経済的には好機かもしれない。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line="199" w:lineRule="auto" w:before="93"/>
              <w:ind w:left="36" w:right="93"/>
              <w:rPr>
                <w:sz w:val="20"/>
              </w:rPr>
            </w:pPr>
            <w:r>
              <w:rPr>
                <w:sz w:val="20"/>
              </w:rPr>
              <w:t>政治だけでもいい方向へ向いてくれればいいのだが、閉そく感がただよっている。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line="199" w:lineRule="auto" w:before="93"/>
              <w:ind w:left="36" w:right="94"/>
              <w:rPr>
                <w:sz w:val="20"/>
              </w:rPr>
            </w:pPr>
            <w:r>
              <w:rPr>
                <w:sz w:val="20"/>
              </w:rPr>
              <w:t>売上など、サービス・小売業において開業前の水準に戻ってきている。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6"/>
              <w:jc w:val="right"/>
              <w:rPr>
                <w:sz w:val="20"/>
              </w:rPr>
            </w:pPr>
            <w:r>
              <w:rPr>
                <w:sz w:val="20"/>
              </w:rPr>
              <w:t>県南</w:t>
            </w:r>
          </w:p>
        </w:tc>
        <w:tc>
          <w:tcPr>
            <w:tcW w:w="1173" w:type="dxa"/>
          </w:tcPr>
          <w:p>
            <w:pPr>
              <w:pStyle w:val="TableParagraph"/>
              <w:spacing w:before="167"/>
              <w:ind w:left="74" w:right="39"/>
              <w:jc w:val="center"/>
              <w:rPr>
                <w:sz w:val="20"/>
              </w:rPr>
            </w:pPr>
            <w:r>
              <w:rPr>
                <w:sz w:val="20"/>
              </w:rPr>
              <w:t>飲料品製造</w:t>
            </w:r>
          </w:p>
        </w:tc>
        <w:tc>
          <w:tcPr>
            <w:tcW w:w="5795" w:type="dxa"/>
          </w:tcPr>
          <w:p>
            <w:pPr>
              <w:pStyle w:val="TableParagraph"/>
              <w:spacing w:line="199" w:lineRule="auto" w:before="93"/>
              <w:ind w:left="36" w:right="93"/>
              <w:rPr>
                <w:sz w:val="20"/>
              </w:rPr>
            </w:pPr>
            <w:r>
              <w:rPr>
                <w:sz w:val="20"/>
              </w:rPr>
              <w:t>震災復興のための企画や商品に対しては反応があるが、通常の商品についての動きはにぶい。</w:t>
            </w:r>
          </w:p>
        </w:tc>
      </w:tr>
      <w:tr>
        <w:trPr>
          <w:trHeight w:val="796" w:hRule="atLeast"/>
        </w:trPr>
        <w:tc>
          <w:tcPr>
            <w:tcW w:w="1615" w:type="dxa"/>
            <w:tcBorders>
              <w:bottom w:val="nil"/>
            </w:tcBorders>
          </w:tcPr>
          <w:p>
            <w:pPr>
              <w:pStyle w:val="TableParagraph"/>
              <w:spacing w:line="199" w:lineRule="auto" w:before="155"/>
              <w:ind w:left="263" w:right="4" w:hanging="221"/>
              <w:rPr>
                <w:sz w:val="22"/>
              </w:rPr>
            </w:pPr>
            <w:r>
              <w:rPr>
                <w:sz w:val="22"/>
              </w:rPr>
              <w:t>震災前をやや下回っている</w:t>
            </w:r>
          </w:p>
        </w:tc>
        <w:tc>
          <w:tcPr>
            <w:tcW w:w="511" w:type="dxa"/>
            <w:tcBorders>
              <w:bottom w:val="nil"/>
            </w:tcBorders>
          </w:tcPr>
          <w:p>
            <w:pPr>
              <w:pStyle w:val="TableParagraph"/>
              <w:spacing w:before="7"/>
              <w:rPr>
                <w:sz w:val="18"/>
              </w:rPr>
            </w:pPr>
          </w:p>
          <w:p>
            <w:pPr>
              <w:pStyle w:val="TableParagraph"/>
              <w:spacing w:before="1"/>
              <w:ind w:left="41" w:right="7"/>
              <w:jc w:val="center"/>
              <w:rPr>
                <w:sz w:val="20"/>
              </w:rPr>
            </w:pPr>
            <w:r>
              <w:rPr>
                <w:sz w:val="20"/>
              </w:rPr>
              <w:t>家計</w:t>
            </w:r>
          </w:p>
        </w:tc>
        <w:tc>
          <w:tcPr>
            <w:tcW w:w="511" w:type="dxa"/>
            <w:tcBorders>
              <w:bottom w:val="nil"/>
            </w:tcBorders>
          </w:tcPr>
          <w:p>
            <w:pPr>
              <w:pStyle w:val="TableParagraph"/>
              <w:spacing w:before="7"/>
              <w:rPr>
                <w:sz w:val="18"/>
              </w:rPr>
            </w:pPr>
          </w:p>
          <w:p>
            <w:pPr>
              <w:pStyle w:val="TableParagraph"/>
              <w:spacing w:before="1"/>
              <w:ind w:right="26"/>
              <w:jc w:val="right"/>
              <w:rPr>
                <w:sz w:val="20"/>
              </w:rPr>
            </w:pPr>
            <w:r>
              <w:rPr>
                <w:sz w:val="20"/>
              </w:rPr>
              <w:t>東青</w:t>
            </w:r>
          </w:p>
        </w:tc>
        <w:tc>
          <w:tcPr>
            <w:tcW w:w="1173" w:type="dxa"/>
          </w:tcPr>
          <w:p>
            <w:pPr>
              <w:pStyle w:val="TableParagraph"/>
              <w:spacing w:before="7"/>
              <w:rPr>
                <w:sz w:val="18"/>
              </w:rPr>
            </w:pPr>
          </w:p>
          <w:p>
            <w:pPr>
              <w:pStyle w:val="TableParagraph"/>
              <w:spacing w:before="1"/>
              <w:ind w:left="74" w:right="39"/>
              <w:jc w:val="center"/>
              <w:rPr>
                <w:sz w:val="20"/>
              </w:rPr>
            </w:pPr>
            <w:r>
              <w:rPr>
                <w:sz w:val="20"/>
              </w:rPr>
              <w:t>コンビニ</w:t>
            </w:r>
          </w:p>
        </w:tc>
        <w:tc>
          <w:tcPr>
            <w:tcW w:w="5795" w:type="dxa"/>
          </w:tcPr>
          <w:p>
            <w:pPr>
              <w:pStyle w:val="TableParagraph"/>
              <w:spacing w:line="199" w:lineRule="auto" w:before="62"/>
              <w:ind w:left="36" w:right="94"/>
              <w:jc w:val="both"/>
              <w:rPr>
                <w:sz w:val="20"/>
              </w:rPr>
            </w:pPr>
            <w:r>
              <w:rPr>
                <w:sz w:val="20"/>
              </w:rPr>
              <w:t>天候のおかげで売り上げはアップしていますが、政治の求心力の低下、復興のスピードを考えれば、回復しているとは思えない。</w:t>
            </w:r>
          </w:p>
        </w:tc>
      </w:tr>
    </w:tbl>
    <w:p>
      <w:pPr>
        <w:spacing w:after="0" w:line="199" w:lineRule="auto"/>
        <w:jc w:val="both"/>
        <w:rPr>
          <w:sz w:val="20"/>
        </w:rPr>
        <w:sectPr>
          <w:pgSz w:w="1190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446"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446" w:lineRule="exact"/>
              <w:ind w:left="59"/>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446"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446"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44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199" w:lineRule="auto" w:before="73"/>
              <w:ind w:left="263" w:right="4" w:hanging="221"/>
              <w:rPr>
                <w:sz w:val="22"/>
              </w:rPr>
            </w:pPr>
            <w:r>
              <w:rPr>
                <w:sz w:val="22"/>
              </w:rPr>
              <w:t>震災前をやや下回っている</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乗用車販売</w:t>
            </w:r>
          </w:p>
        </w:tc>
        <w:tc>
          <w:tcPr>
            <w:tcW w:w="5795" w:type="dxa"/>
          </w:tcPr>
          <w:p>
            <w:pPr>
              <w:pStyle w:val="TableParagraph"/>
              <w:spacing w:before="167"/>
              <w:ind w:left="36"/>
              <w:rPr>
                <w:sz w:val="20"/>
              </w:rPr>
            </w:pPr>
            <w:r>
              <w:rPr>
                <w:sz w:val="20"/>
              </w:rPr>
              <w:t>この先の景気がどうなって行くのか不透明なので？</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74" w:right="39"/>
              <w:jc w:val="center"/>
              <w:rPr>
                <w:sz w:val="20"/>
              </w:rPr>
            </w:pPr>
            <w:r>
              <w:rPr>
                <w:sz w:val="20"/>
              </w:rPr>
              <w:t>衣料専門店</w:t>
            </w:r>
          </w:p>
        </w:tc>
        <w:tc>
          <w:tcPr>
            <w:tcW w:w="5795" w:type="dxa"/>
          </w:tcPr>
          <w:p>
            <w:pPr>
              <w:pStyle w:val="TableParagraph"/>
              <w:spacing w:line="199" w:lineRule="auto" w:before="62"/>
              <w:ind w:left="36" w:right="93"/>
              <w:jc w:val="both"/>
              <w:rPr>
                <w:sz w:val="20"/>
              </w:rPr>
            </w:pPr>
            <w:r>
              <w:rPr>
                <w:sz w:val="20"/>
              </w:rPr>
              <w:t>先のその他の回答とかぶりますが、就業人口の減少が一番の理由です。一次産業二次産業が不得意の当地はサービス業、医療福祉産業の創造が必要と考えています。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卸売業</w:t>
            </w:r>
          </w:p>
        </w:tc>
        <w:tc>
          <w:tcPr>
            <w:tcW w:w="5795" w:type="dxa"/>
          </w:tcPr>
          <w:p>
            <w:pPr>
              <w:pStyle w:val="TableParagraph"/>
              <w:spacing w:line="199" w:lineRule="auto" w:before="93"/>
              <w:ind w:left="36" w:right="94"/>
              <w:rPr>
                <w:sz w:val="20"/>
              </w:rPr>
            </w:pPr>
            <w:r>
              <w:rPr>
                <w:sz w:val="20"/>
              </w:rPr>
              <w:t>復興状況・原発問題等不透明な為、消費者の方も慎重になっている。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観光型ホテル・旅館</w:t>
            </w:r>
          </w:p>
        </w:tc>
        <w:tc>
          <w:tcPr>
            <w:tcW w:w="5795" w:type="dxa"/>
          </w:tcPr>
          <w:p>
            <w:pPr>
              <w:pStyle w:val="TableParagraph"/>
              <w:spacing w:line="199" w:lineRule="auto" w:before="93"/>
              <w:ind w:left="36" w:right="93"/>
              <w:rPr>
                <w:sz w:val="20"/>
              </w:rPr>
            </w:pPr>
            <w:r>
              <w:rPr>
                <w:sz w:val="20"/>
              </w:rPr>
              <w:t>震災前は、客数も上向きでした。その頃の客数にはまだまだです。でも、少しずつですが増えてきてますので、期待します。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4" w:hanging="404"/>
              <w:rPr>
                <w:sz w:val="20"/>
              </w:rPr>
            </w:pPr>
            <w:r>
              <w:rPr>
                <w:sz w:val="20"/>
              </w:rPr>
              <w:t>都市型ホテル</w:t>
            </w:r>
          </w:p>
        </w:tc>
        <w:tc>
          <w:tcPr>
            <w:tcW w:w="5795" w:type="dxa"/>
          </w:tcPr>
          <w:p>
            <w:pPr>
              <w:pStyle w:val="TableParagraph"/>
              <w:spacing w:line="199" w:lineRule="auto" w:before="93"/>
              <w:ind w:left="36" w:right="94"/>
              <w:rPr>
                <w:sz w:val="20"/>
              </w:rPr>
            </w:pPr>
            <w:r>
              <w:rPr>
                <w:sz w:val="20"/>
              </w:rPr>
              <w:t>お客様の利用状況をみると延期や規模の縮小が見られる（震災の影響ではないかも？）</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74" w:right="39"/>
              <w:jc w:val="center"/>
              <w:rPr>
                <w:sz w:val="20"/>
              </w:rPr>
            </w:pPr>
            <w:r>
              <w:rPr>
                <w:sz w:val="20"/>
              </w:rPr>
              <w:t>タクシー</w:t>
            </w:r>
          </w:p>
        </w:tc>
        <w:tc>
          <w:tcPr>
            <w:tcW w:w="5795" w:type="dxa"/>
          </w:tcPr>
          <w:p>
            <w:pPr>
              <w:pStyle w:val="TableParagraph"/>
              <w:spacing w:line="199" w:lineRule="auto" w:before="62"/>
              <w:ind w:left="36" w:right="93"/>
              <w:jc w:val="both"/>
              <w:rPr>
                <w:sz w:val="20"/>
              </w:rPr>
            </w:pPr>
            <w:r>
              <w:rPr>
                <w:sz w:val="20"/>
              </w:rPr>
              <w:t>自社の震災前の売上げと比較して見て、売上げはやや下回っているので。（自社の売上げでが景気の影響を一番受けると思います。）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美容院</w:t>
            </w:r>
          </w:p>
        </w:tc>
        <w:tc>
          <w:tcPr>
            <w:tcW w:w="5795" w:type="dxa"/>
          </w:tcPr>
          <w:p>
            <w:pPr>
              <w:pStyle w:val="TableParagraph"/>
              <w:spacing w:line="199" w:lineRule="auto" w:before="93"/>
              <w:ind w:left="36" w:right="93"/>
              <w:rPr>
                <w:sz w:val="20"/>
              </w:rPr>
            </w:pPr>
            <w:r>
              <w:rPr>
                <w:sz w:val="20"/>
              </w:rPr>
              <w:t>震災による節電意識が、逆に消費が贅沢だと思っている人も少なからずいるように思えます。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コンビニ</w:t>
            </w:r>
          </w:p>
        </w:tc>
        <w:tc>
          <w:tcPr>
            <w:tcW w:w="5795" w:type="dxa"/>
          </w:tcPr>
          <w:p>
            <w:pPr>
              <w:pStyle w:val="TableParagraph"/>
              <w:spacing w:line="199" w:lineRule="auto" w:before="93"/>
              <w:ind w:left="36" w:right="94"/>
              <w:rPr>
                <w:sz w:val="20"/>
              </w:rPr>
            </w:pPr>
            <w:r>
              <w:rPr>
                <w:sz w:val="20"/>
              </w:rPr>
              <w:t>全体の売上げは伸びているが、それは煙草の売上げが伸びていることによる。他は前年同等か、少し減。</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74" w:right="39"/>
              <w:jc w:val="center"/>
              <w:rPr>
                <w:sz w:val="20"/>
              </w:rPr>
            </w:pPr>
            <w:r>
              <w:rPr>
                <w:sz w:val="20"/>
              </w:rPr>
              <w:t>一般小売店</w:t>
            </w:r>
          </w:p>
        </w:tc>
        <w:tc>
          <w:tcPr>
            <w:tcW w:w="5795" w:type="dxa"/>
          </w:tcPr>
          <w:p>
            <w:pPr>
              <w:pStyle w:val="TableParagraph"/>
              <w:spacing w:line="199" w:lineRule="auto" w:before="62"/>
              <w:ind w:left="36" w:right="94"/>
              <w:rPr>
                <w:sz w:val="20"/>
              </w:rPr>
            </w:pPr>
            <w:r>
              <w:rPr>
                <w:w w:val="95"/>
                <w:sz w:val="20"/>
              </w:rPr>
              <w:t>3月11日より前の頃は、1月2月合計で106%程でした。そこまで  </w:t>
            </w:r>
            <w:r>
              <w:rPr>
                <w:sz w:val="20"/>
              </w:rPr>
              <w:t>はいっていないので④（震災前をやや下回っている）を選びました。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卸売業</w:t>
            </w:r>
          </w:p>
        </w:tc>
        <w:tc>
          <w:tcPr>
            <w:tcW w:w="5795" w:type="dxa"/>
          </w:tcPr>
          <w:p>
            <w:pPr>
              <w:pStyle w:val="TableParagraph"/>
              <w:spacing w:before="167"/>
              <w:ind w:left="36"/>
              <w:rPr>
                <w:sz w:val="20"/>
              </w:rPr>
            </w:pPr>
            <w:r>
              <w:rPr>
                <w:sz w:val="20"/>
              </w:rPr>
              <w:t>物流が震災前より悪く感じるため。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旅行代理店</w:t>
            </w:r>
          </w:p>
        </w:tc>
        <w:tc>
          <w:tcPr>
            <w:tcW w:w="5795" w:type="dxa"/>
          </w:tcPr>
          <w:p>
            <w:pPr>
              <w:pStyle w:val="TableParagraph"/>
              <w:spacing w:before="167"/>
              <w:ind w:left="36"/>
              <w:rPr>
                <w:sz w:val="20"/>
              </w:rPr>
            </w:pPr>
            <w:r>
              <w:rPr>
                <w:sz w:val="20"/>
              </w:rPr>
              <w:t>まだ人の動きがもどっていない。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7"/>
              <w:rPr>
                <w:sz w:val="18"/>
              </w:rPr>
            </w:pPr>
          </w:p>
          <w:p>
            <w:pPr>
              <w:pStyle w:val="TableParagraph"/>
              <w:spacing w:before="1"/>
              <w:ind w:left="62"/>
              <w:rPr>
                <w:sz w:val="20"/>
              </w:rPr>
            </w:pPr>
            <w:r>
              <w:rPr>
                <w:sz w:val="20"/>
              </w:rPr>
              <w:t>県南</w:t>
            </w:r>
          </w:p>
        </w:tc>
        <w:tc>
          <w:tcPr>
            <w:tcW w:w="1173" w:type="dxa"/>
          </w:tcPr>
          <w:p>
            <w:pPr>
              <w:pStyle w:val="TableParagraph"/>
              <w:spacing w:before="7"/>
              <w:rPr>
                <w:sz w:val="18"/>
              </w:rPr>
            </w:pPr>
          </w:p>
          <w:p>
            <w:pPr>
              <w:pStyle w:val="TableParagraph"/>
              <w:spacing w:before="1"/>
              <w:ind w:left="74" w:right="39"/>
              <w:jc w:val="center"/>
              <w:rPr>
                <w:sz w:val="20"/>
              </w:rPr>
            </w:pPr>
            <w:r>
              <w:rPr>
                <w:sz w:val="20"/>
              </w:rPr>
              <w:t>一般小売店</w:t>
            </w:r>
          </w:p>
        </w:tc>
        <w:tc>
          <w:tcPr>
            <w:tcW w:w="5795" w:type="dxa"/>
          </w:tcPr>
          <w:p>
            <w:pPr>
              <w:pStyle w:val="TableParagraph"/>
              <w:spacing w:line="199" w:lineRule="auto" w:before="62"/>
              <w:ind w:left="36" w:right="93"/>
              <w:jc w:val="both"/>
              <w:rPr>
                <w:sz w:val="20"/>
              </w:rPr>
            </w:pPr>
            <w:r>
              <w:rPr>
                <w:sz w:val="20"/>
              </w:rPr>
              <w:t>全ての経済活動がまだもとに戻っていない。特に東北新幹線が東京⇔八戸で一時間近く遅いのは、観光にまで影響してくると思う。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スナック</w:t>
            </w:r>
          </w:p>
        </w:tc>
        <w:tc>
          <w:tcPr>
            <w:tcW w:w="5795" w:type="dxa"/>
          </w:tcPr>
          <w:p>
            <w:pPr>
              <w:pStyle w:val="TableParagraph"/>
              <w:spacing w:before="167"/>
              <w:ind w:left="36"/>
              <w:rPr>
                <w:sz w:val="20"/>
              </w:rPr>
            </w:pPr>
            <w:r>
              <w:rPr>
                <w:sz w:val="20"/>
              </w:rPr>
              <w:t>下り坂です。良くなる見通しがない。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before="167"/>
              <w:ind w:left="36"/>
              <w:rPr>
                <w:sz w:val="20"/>
              </w:rPr>
            </w:pPr>
            <w:r>
              <w:rPr>
                <w:sz w:val="20"/>
              </w:rPr>
              <w:t>工場等が、まだ100%の稼働ではない！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3" w:right="54" w:hanging="202"/>
              <w:rPr>
                <w:sz w:val="20"/>
              </w:rPr>
            </w:pPr>
            <w:r>
              <w:rPr>
                <w:sz w:val="20"/>
              </w:rPr>
              <w:t>ガソリンスタンド</w:t>
            </w:r>
          </w:p>
        </w:tc>
        <w:tc>
          <w:tcPr>
            <w:tcW w:w="5795" w:type="dxa"/>
          </w:tcPr>
          <w:p>
            <w:pPr>
              <w:pStyle w:val="TableParagraph"/>
              <w:spacing w:before="167"/>
              <w:ind w:left="36"/>
              <w:rPr>
                <w:sz w:val="20"/>
              </w:rPr>
            </w:pPr>
            <w:r>
              <w:rPr>
                <w:sz w:val="20"/>
              </w:rPr>
              <w:t>自粛が続き、節電から、すべて節約ムードにある。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下北</w:t>
            </w:r>
          </w:p>
        </w:tc>
        <w:tc>
          <w:tcPr>
            <w:tcW w:w="1173" w:type="dxa"/>
          </w:tcPr>
          <w:p>
            <w:pPr>
              <w:pStyle w:val="TableParagraph"/>
              <w:spacing w:before="167"/>
              <w:ind w:left="74" w:right="39"/>
              <w:jc w:val="center"/>
              <w:rPr>
                <w:sz w:val="20"/>
              </w:rPr>
            </w:pPr>
            <w:r>
              <w:rPr>
                <w:sz w:val="20"/>
              </w:rPr>
              <w:t>コンビニ</w:t>
            </w:r>
          </w:p>
        </w:tc>
        <w:tc>
          <w:tcPr>
            <w:tcW w:w="5795" w:type="dxa"/>
          </w:tcPr>
          <w:p>
            <w:pPr>
              <w:pStyle w:val="TableParagraph"/>
              <w:spacing w:before="167"/>
              <w:ind w:left="36"/>
              <w:rPr>
                <w:sz w:val="20"/>
              </w:rPr>
            </w:pPr>
            <w:r>
              <w:rPr>
                <w:sz w:val="20"/>
              </w:rPr>
              <w:t>たばこが元通りの状態ではない。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レストラン</w:t>
            </w:r>
          </w:p>
        </w:tc>
        <w:tc>
          <w:tcPr>
            <w:tcW w:w="5795" w:type="dxa"/>
          </w:tcPr>
          <w:p>
            <w:pPr>
              <w:pStyle w:val="TableParagraph"/>
              <w:spacing w:line="199" w:lineRule="auto" w:before="93"/>
              <w:ind w:left="36" w:right="94"/>
              <w:rPr>
                <w:sz w:val="20"/>
              </w:rPr>
            </w:pPr>
            <w:r>
              <w:rPr>
                <w:sz w:val="20"/>
              </w:rPr>
              <w:t>自衛隊・電力関係者が少なく、まだまだ回復までは時間がかかると思われます。</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before="167"/>
              <w:ind w:left="62"/>
              <w:rPr>
                <w:sz w:val="20"/>
              </w:rPr>
            </w:pPr>
            <w:r>
              <w:rPr>
                <w:sz w:val="20"/>
              </w:rPr>
              <w:t>企業</w:t>
            </w:r>
          </w:p>
        </w:tc>
        <w:tc>
          <w:tcPr>
            <w:tcW w:w="511" w:type="dxa"/>
          </w:tcPr>
          <w:p>
            <w:pPr>
              <w:pStyle w:val="TableParagraph"/>
              <w:spacing w:before="167"/>
              <w:ind w:right="27"/>
              <w:jc w:val="right"/>
              <w:rPr>
                <w:sz w:val="20"/>
              </w:rPr>
            </w:pPr>
            <w:r>
              <w:rPr>
                <w:sz w:val="20"/>
              </w:rPr>
              <w:t>東青</w:t>
            </w:r>
          </w:p>
        </w:tc>
        <w:tc>
          <w:tcPr>
            <w:tcW w:w="1173" w:type="dxa"/>
          </w:tcPr>
          <w:p>
            <w:pPr>
              <w:pStyle w:val="TableParagraph"/>
              <w:spacing w:line="199" w:lineRule="auto" w:before="93"/>
              <w:ind w:left="393" w:right="54" w:hanging="303"/>
              <w:rPr>
                <w:sz w:val="20"/>
              </w:rPr>
            </w:pPr>
            <w:r>
              <w:rPr>
                <w:sz w:val="20"/>
              </w:rPr>
              <w:t>広告・デザイン</w:t>
            </w:r>
          </w:p>
        </w:tc>
        <w:tc>
          <w:tcPr>
            <w:tcW w:w="5795" w:type="dxa"/>
          </w:tcPr>
          <w:p>
            <w:pPr>
              <w:pStyle w:val="TableParagraph"/>
              <w:spacing w:line="199" w:lineRule="auto" w:before="93"/>
              <w:ind w:left="36" w:right="94"/>
              <w:rPr>
                <w:sz w:val="20"/>
              </w:rPr>
            </w:pPr>
            <w:r>
              <w:rPr>
                <w:sz w:val="20"/>
              </w:rPr>
              <w:t>一部、広告出稿の減額、イベントサイズの縮小、時期延期がまだある。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before="167"/>
              <w:ind w:right="27"/>
              <w:jc w:val="right"/>
              <w:rPr>
                <w:sz w:val="20"/>
              </w:rPr>
            </w:pPr>
            <w:r>
              <w:rPr>
                <w:sz w:val="20"/>
              </w:rPr>
              <w:t>津軽</w:t>
            </w:r>
          </w:p>
        </w:tc>
        <w:tc>
          <w:tcPr>
            <w:tcW w:w="1173" w:type="dxa"/>
          </w:tcPr>
          <w:p>
            <w:pPr>
              <w:pStyle w:val="TableParagraph"/>
              <w:spacing w:line="199" w:lineRule="auto" w:before="93"/>
              <w:ind w:left="494" w:right="54" w:hanging="404"/>
              <w:rPr>
                <w:sz w:val="20"/>
              </w:rPr>
            </w:pPr>
            <w:r>
              <w:rPr>
                <w:sz w:val="20"/>
              </w:rPr>
              <w:t>電気機械製造</w:t>
            </w:r>
          </w:p>
        </w:tc>
        <w:tc>
          <w:tcPr>
            <w:tcW w:w="5795" w:type="dxa"/>
          </w:tcPr>
          <w:p>
            <w:pPr>
              <w:pStyle w:val="TableParagraph"/>
              <w:spacing w:before="167"/>
              <w:ind w:left="36"/>
              <w:rPr>
                <w:sz w:val="20"/>
              </w:rPr>
            </w:pPr>
            <w:r>
              <w:rPr>
                <w:sz w:val="20"/>
              </w:rPr>
              <w:t>車関係の部品の受注が減少しているため。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before="167"/>
              <w:ind w:right="27"/>
              <w:jc w:val="right"/>
              <w:rPr>
                <w:sz w:val="20"/>
              </w:rPr>
            </w:pPr>
            <w:r>
              <w:rPr>
                <w:sz w:val="20"/>
              </w:rPr>
              <w:t>県南</w:t>
            </w:r>
          </w:p>
        </w:tc>
        <w:tc>
          <w:tcPr>
            <w:tcW w:w="1173" w:type="dxa"/>
          </w:tcPr>
          <w:p>
            <w:pPr>
              <w:pStyle w:val="TableParagraph"/>
              <w:spacing w:line="199" w:lineRule="auto" w:before="93"/>
              <w:ind w:left="393" w:right="54" w:hanging="303"/>
              <w:rPr>
                <w:sz w:val="20"/>
              </w:rPr>
            </w:pPr>
            <w:r>
              <w:rPr>
                <w:sz w:val="20"/>
              </w:rPr>
              <w:t>紙・パルプ製造</w:t>
            </w:r>
          </w:p>
        </w:tc>
        <w:tc>
          <w:tcPr>
            <w:tcW w:w="5795" w:type="dxa"/>
          </w:tcPr>
          <w:p>
            <w:pPr>
              <w:pStyle w:val="TableParagraph"/>
              <w:spacing w:line="199" w:lineRule="auto" w:before="93"/>
              <w:ind w:left="36" w:right="94"/>
              <w:rPr>
                <w:sz w:val="20"/>
              </w:rPr>
            </w:pPr>
            <w:r>
              <w:rPr>
                <w:sz w:val="20"/>
              </w:rPr>
              <w:t>震災による消費マインドの低下に加えて、電力不足も景気回復に水を差している。</w:t>
            </w:r>
          </w:p>
        </w:tc>
      </w:tr>
    </w:tbl>
    <w:p>
      <w:pPr>
        <w:spacing w:after="0" w:line="199" w:lineRule="auto"/>
        <w:rPr>
          <w:sz w:val="20"/>
        </w:rPr>
        <w:sectPr>
          <w:pgSz w:w="11900" w:h="16840"/>
          <w:pgMar w:header="0" w:footer="715"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632" w:hRule="atLeast"/>
        </w:trPr>
        <w:tc>
          <w:tcPr>
            <w:tcW w:w="1615" w:type="dxa"/>
            <w:shd w:val="clear" w:color="auto" w:fill="CCFFCC"/>
          </w:tcPr>
          <w:p>
            <w:pPr>
              <w:pStyle w:val="TableParagraph"/>
              <w:spacing w:line="446" w:lineRule="exact"/>
              <w:ind w:left="593" w:right="562"/>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446" w:lineRule="exact"/>
              <w:ind w:left="39" w:right="8"/>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446" w:lineRule="exact"/>
              <w:ind w:right="25"/>
              <w:jc w:val="right"/>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446" w:lineRule="exact"/>
              <w:ind w:left="71"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446" w:lineRule="exact"/>
              <w:ind w:left="2684" w:right="2650"/>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199" w:lineRule="auto" w:before="73"/>
              <w:ind w:left="263" w:right="4" w:hanging="221"/>
              <w:rPr>
                <w:sz w:val="22"/>
              </w:rPr>
            </w:pPr>
            <w:r>
              <w:rPr>
                <w:sz w:val="22"/>
              </w:rPr>
              <w:t>震災前をやや下回っている</w:t>
            </w:r>
          </w:p>
        </w:tc>
        <w:tc>
          <w:tcPr>
            <w:tcW w:w="511" w:type="dxa"/>
          </w:tcPr>
          <w:p>
            <w:pPr>
              <w:pStyle w:val="TableParagraph"/>
              <w:spacing w:before="167"/>
              <w:ind w:left="41" w:right="7"/>
              <w:jc w:val="center"/>
              <w:rPr>
                <w:sz w:val="20"/>
              </w:rPr>
            </w:pPr>
            <w:r>
              <w:rPr>
                <w:sz w:val="20"/>
              </w:rPr>
              <w:t>企業</w:t>
            </w:r>
          </w:p>
        </w:tc>
        <w:tc>
          <w:tcPr>
            <w:tcW w:w="511" w:type="dxa"/>
          </w:tcPr>
          <w:p>
            <w:pPr>
              <w:pStyle w:val="TableParagraph"/>
              <w:spacing w:before="167"/>
              <w:ind w:right="26"/>
              <w:jc w:val="right"/>
              <w:rPr>
                <w:sz w:val="20"/>
              </w:rPr>
            </w:pPr>
            <w:r>
              <w:rPr>
                <w:sz w:val="20"/>
              </w:rPr>
              <w:t>下北</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before="167"/>
              <w:ind w:left="36"/>
              <w:rPr>
                <w:sz w:val="20"/>
              </w:rPr>
            </w:pPr>
            <w:r>
              <w:rPr>
                <w:sz w:val="20"/>
              </w:rPr>
              <w:t>現状の売上等の数字から。</w:t>
            </w:r>
          </w:p>
        </w:tc>
      </w:tr>
      <w:tr>
        <w:trPr>
          <w:trHeight w:val="632" w:hRule="atLeast"/>
        </w:trPr>
        <w:tc>
          <w:tcPr>
            <w:tcW w:w="1615" w:type="dxa"/>
            <w:vMerge/>
            <w:tcBorders>
              <w:top w:val="nil"/>
            </w:tcBorders>
          </w:tcPr>
          <w:p>
            <w:pPr>
              <w:rPr>
                <w:sz w:val="2"/>
                <w:szCs w:val="2"/>
              </w:rPr>
            </w:pPr>
          </w:p>
        </w:tc>
        <w:tc>
          <w:tcPr>
            <w:tcW w:w="511" w:type="dxa"/>
          </w:tcPr>
          <w:p>
            <w:pPr>
              <w:pStyle w:val="TableParagraph"/>
              <w:spacing w:before="167"/>
              <w:ind w:left="41" w:right="7"/>
              <w:jc w:val="center"/>
              <w:rPr>
                <w:sz w:val="20"/>
              </w:rPr>
            </w:pPr>
            <w:r>
              <w:rPr>
                <w:sz w:val="20"/>
              </w:rPr>
              <w:t>雇用</w:t>
            </w:r>
          </w:p>
        </w:tc>
        <w:tc>
          <w:tcPr>
            <w:tcW w:w="511" w:type="dxa"/>
          </w:tcPr>
          <w:p>
            <w:pPr>
              <w:pStyle w:val="TableParagraph"/>
              <w:spacing w:before="167"/>
              <w:ind w:right="26"/>
              <w:jc w:val="right"/>
              <w:rPr>
                <w:sz w:val="20"/>
              </w:rPr>
            </w:pPr>
            <w:r>
              <w:rPr>
                <w:sz w:val="20"/>
              </w:rPr>
              <w:t>県南</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before="167"/>
              <w:ind w:left="36"/>
              <w:rPr>
                <w:sz w:val="20"/>
              </w:rPr>
            </w:pPr>
            <w:r>
              <w:rPr>
                <w:sz w:val="20"/>
              </w:rPr>
              <w:t>回復しつつあるものの、自粛等が影響している。</w:t>
            </w:r>
          </w:p>
        </w:tc>
      </w:tr>
      <w:tr>
        <w:trPr>
          <w:trHeight w:val="632" w:hRule="atLeast"/>
        </w:trPr>
        <w:tc>
          <w:tcPr>
            <w:tcW w:w="1615" w:type="dxa"/>
            <w:vMerge w:val="restart"/>
          </w:tcPr>
          <w:p>
            <w:pPr>
              <w:pStyle w:val="TableParagraph"/>
              <w:spacing w:line="199" w:lineRule="auto" w:before="73"/>
              <w:ind w:left="153" w:right="115" w:firstLine="220"/>
              <w:rPr>
                <w:sz w:val="22"/>
              </w:rPr>
            </w:pPr>
            <w:r>
              <w:rPr>
                <w:sz w:val="22"/>
              </w:rPr>
              <w:t>震 災 前 を 下回っている</w:t>
            </w:r>
          </w:p>
        </w:tc>
        <w:tc>
          <w:tcPr>
            <w:tcW w:w="511" w:type="dxa"/>
            <w:vMerge w:val="restart"/>
          </w:tcPr>
          <w:p>
            <w:pPr>
              <w:pStyle w:val="TableParagraph"/>
              <w:spacing w:before="167"/>
              <w:ind w:left="62"/>
              <w:rPr>
                <w:sz w:val="20"/>
              </w:rPr>
            </w:pPr>
            <w:r>
              <w:rPr>
                <w:sz w:val="20"/>
              </w:rPr>
              <w:t>家計</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一般小売店</w:t>
            </w:r>
          </w:p>
        </w:tc>
        <w:tc>
          <w:tcPr>
            <w:tcW w:w="5795" w:type="dxa"/>
          </w:tcPr>
          <w:p>
            <w:pPr>
              <w:pStyle w:val="TableParagraph"/>
              <w:spacing w:before="167"/>
              <w:ind w:left="36"/>
              <w:rPr>
                <w:sz w:val="20"/>
              </w:rPr>
            </w:pPr>
            <w:r>
              <w:rPr>
                <w:sz w:val="20"/>
              </w:rPr>
              <w:t>資材の入荷の遅れがまだ続いている。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7"/>
              <w:rPr>
                <w:sz w:val="18"/>
              </w:rPr>
            </w:pPr>
          </w:p>
          <w:p>
            <w:pPr>
              <w:pStyle w:val="TableParagraph"/>
              <w:spacing w:before="1"/>
              <w:ind w:left="74" w:right="39"/>
              <w:jc w:val="center"/>
              <w:rPr>
                <w:sz w:val="20"/>
              </w:rPr>
            </w:pPr>
            <w:r>
              <w:rPr>
                <w:sz w:val="20"/>
              </w:rPr>
              <w:t>レストラン</w:t>
            </w:r>
          </w:p>
        </w:tc>
        <w:tc>
          <w:tcPr>
            <w:tcW w:w="5795" w:type="dxa"/>
          </w:tcPr>
          <w:p>
            <w:pPr>
              <w:pStyle w:val="TableParagraph"/>
              <w:spacing w:line="199" w:lineRule="auto" w:before="62"/>
              <w:ind w:left="36" w:right="94"/>
              <w:jc w:val="both"/>
              <w:rPr>
                <w:sz w:val="20"/>
              </w:rPr>
            </w:pPr>
            <w:r>
              <w:rPr>
                <w:sz w:val="20"/>
              </w:rPr>
              <w:t>まだまだ余震が、いろいろな場所で発生しているので、観光客も安心できないのでは？これから暑くなるので、県外からのお客様も多くなると思う？？？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観光名所等</w:t>
            </w:r>
          </w:p>
        </w:tc>
        <w:tc>
          <w:tcPr>
            <w:tcW w:w="5795" w:type="dxa"/>
          </w:tcPr>
          <w:p>
            <w:pPr>
              <w:pStyle w:val="TableParagraph"/>
              <w:spacing w:before="167"/>
              <w:ind w:left="36"/>
              <w:rPr>
                <w:sz w:val="20"/>
              </w:rPr>
            </w:pPr>
            <w:r>
              <w:rPr>
                <w:sz w:val="20"/>
              </w:rPr>
              <w:t>前年度よりかなり劣るので。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商店街</w:t>
            </w:r>
          </w:p>
        </w:tc>
        <w:tc>
          <w:tcPr>
            <w:tcW w:w="5795" w:type="dxa"/>
          </w:tcPr>
          <w:p>
            <w:pPr>
              <w:pStyle w:val="TableParagraph"/>
              <w:spacing w:before="167"/>
              <w:ind w:left="36"/>
              <w:rPr>
                <w:sz w:val="20"/>
              </w:rPr>
            </w:pPr>
            <w:r>
              <w:rPr>
                <w:sz w:val="20"/>
              </w:rPr>
              <w:t>地元百貨店の破綻が大きい。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94" w:right="54" w:hanging="404"/>
              <w:rPr>
                <w:sz w:val="20"/>
              </w:rPr>
            </w:pPr>
            <w:r>
              <w:rPr>
                <w:sz w:val="20"/>
              </w:rPr>
              <w:t>都市型ホテル</w:t>
            </w:r>
          </w:p>
        </w:tc>
        <w:tc>
          <w:tcPr>
            <w:tcW w:w="5795" w:type="dxa"/>
          </w:tcPr>
          <w:p>
            <w:pPr>
              <w:pStyle w:val="TableParagraph"/>
              <w:spacing w:before="167"/>
              <w:ind w:left="36"/>
              <w:rPr>
                <w:sz w:val="20"/>
              </w:rPr>
            </w:pPr>
            <w:r>
              <w:rPr>
                <w:sz w:val="20"/>
              </w:rPr>
              <w:t>特に東北の旅行業界は当面回復は見込めない。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観光名所等</w:t>
            </w:r>
          </w:p>
        </w:tc>
        <w:tc>
          <w:tcPr>
            <w:tcW w:w="5795" w:type="dxa"/>
          </w:tcPr>
          <w:p>
            <w:pPr>
              <w:pStyle w:val="TableParagraph"/>
              <w:spacing w:before="167"/>
              <w:ind w:left="36"/>
              <w:rPr>
                <w:sz w:val="20"/>
              </w:rPr>
            </w:pPr>
            <w:r>
              <w:rPr>
                <w:sz w:val="20"/>
              </w:rPr>
              <w:t>先行見通しが難しい。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県南</w:t>
            </w:r>
          </w:p>
        </w:tc>
        <w:tc>
          <w:tcPr>
            <w:tcW w:w="1173" w:type="dxa"/>
          </w:tcPr>
          <w:p>
            <w:pPr>
              <w:pStyle w:val="TableParagraph"/>
              <w:spacing w:before="167"/>
              <w:ind w:left="74" w:right="39"/>
              <w:jc w:val="center"/>
              <w:rPr>
                <w:sz w:val="20"/>
              </w:rPr>
            </w:pPr>
            <w:r>
              <w:rPr>
                <w:sz w:val="20"/>
              </w:rPr>
              <w:t>卸売業</w:t>
            </w:r>
          </w:p>
        </w:tc>
        <w:tc>
          <w:tcPr>
            <w:tcW w:w="5795" w:type="dxa"/>
          </w:tcPr>
          <w:p>
            <w:pPr>
              <w:pStyle w:val="TableParagraph"/>
              <w:spacing w:before="167"/>
              <w:ind w:left="36"/>
              <w:rPr>
                <w:sz w:val="20"/>
              </w:rPr>
            </w:pPr>
            <w:r>
              <w:rPr>
                <w:sz w:val="20"/>
              </w:rPr>
              <w:t>復旧・復興のスピードが遅い。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旅行代理店</w:t>
            </w:r>
          </w:p>
        </w:tc>
        <w:tc>
          <w:tcPr>
            <w:tcW w:w="5795" w:type="dxa"/>
          </w:tcPr>
          <w:p>
            <w:pPr>
              <w:pStyle w:val="TableParagraph"/>
              <w:spacing w:line="199" w:lineRule="auto" w:before="93"/>
              <w:ind w:left="36" w:right="194"/>
              <w:rPr>
                <w:sz w:val="20"/>
              </w:rPr>
            </w:pPr>
            <w:r>
              <w:rPr>
                <w:w w:val="95"/>
                <w:sz w:val="20"/>
              </w:rPr>
              <w:t>4～6月の売上は前年同月比60%程度である。下期に入れば人の </w:t>
            </w:r>
            <w:r>
              <w:rPr>
                <w:sz w:val="20"/>
              </w:rPr>
              <w:t>動きも見られてくるのではないかと期待している。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美容院</w:t>
            </w:r>
          </w:p>
        </w:tc>
        <w:tc>
          <w:tcPr>
            <w:tcW w:w="5795" w:type="dxa"/>
          </w:tcPr>
          <w:p>
            <w:pPr>
              <w:pStyle w:val="TableParagraph"/>
              <w:spacing w:line="199" w:lineRule="auto" w:before="93"/>
              <w:ind w:left="36" w:right="93"/>
              <w:rPr>
                <w:sz w:val="20"/>
              </w:rPr>
            </w:pPr>
            <w:r>
              <w:rPr>
                <w:sz w:val="20"/>
              </w:rPr>
              <w:t>余震の続く現状で、不安材料が多く、心配しながら様子を見ている状況で、重苦しい雰囲気を感じます。</w:t>
            </w:r>
          </w:p>
        </w:tc>
      </w:tr>
      <w:tr>
        <w:trPr>
          <w:trHeight w:val="97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2"/>
              <w:rPr>
                <w:sz w:val="25"/>
              </w:rPr>
            </w:pPr>
          </w:p>
          <w:p>
            <w:pPr>
              <w:pStyle w:val="TableParagraph"/>
              <w:spacing w:before="1"/>
              <w:ind w:left="62"/>
              <w:rPr>
                <w:sz w:val="20"/>
              </w:rPr>
            </w:pPr>
            <w:r>
              <w:rPr>
                <w:sz w:val="20"/>
              </w:rPr>
              <w:t>下北</w:t>
            </w:r>
          </w:p>
        </w:tc>
        <w:tc>
          <w:tcPr>
            <w:tcW w:w="1173" w:type="dxa"/>
          </w:tcPr>
          <w:p>
            <w:pPr>
              <w:pStyle w:val="TableParagraph"/>
              <w:spacing w:before="2"/>
              <w:rPr>
                <w:sz w:val="25"/>
              </w:rPr>
            </w:pPr>
          </w:p>
          <w:p>
            <w:pPr>
              <w:pStyle w:val="TableParagraph"/>
              <w:spacing w:before="1"/>
              <w:ind w:left="74" w:right="39"/>
              <w:jc w:val="center"/>
              <w:rPr>
                <w:sz w:val="20"/>
              </w:rPr>
            </w:pPr>
            <w:r>
              <w:rPr>
                <w:sz w:val="20"/>
              </w:rPr>
              <w:t>一般飲食店</w:t>
            </w:r>
          </w:p>
        </w:tc>
        <w:tc>
          <w:tcPr>
            <w:tcW w:w="5795" w:type="dxa"/>
          </w:tcPr>
          <w:p>
            <w:pPr>
              <w:pStyle w:val="TableParagraph"/>
              <w:spacing w:line="199" w:lineRule="auto" w:before="151"/>
              <w:ind w:left="36" w:right="93"/>
              <w:rPr>
                <w:sz w:val="20"/>
              </w:rPr>
            </w:pPr>
            <w:r>
              <w:rPr>
                <w:sz w:val="20"/>
              </w:rPr>
              <w:t>昔のことわざに、いつまで続くぬかるみぞ、という言葉がありますが、その通りだと思います。昭和16年から20年迄の4年間もの長い間の苦しみを、またつくづくと思い返しております。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before="167"/>
              <w:ind w:left="74" w:right="39"/>
              <w:jc w:val="center"/>
              <w:rPr>
                <w:sz w:val="20"/>
              </w:rPr>
            </w:pPr>
            <w:r>
              <w:rPr>
                <w:sz w:val="20"/>
              </w:rPr>
              <w:t>タクシー</w:t>
            </w:r>
          </w:p>
        </w:tc>
        <w:tc>
          <w:tcPr>
            <w:tcW w:w="5795" w:type="dxa"/>
          </w:tcPr>
          <w:p>
            <w:pPr>
              <w:pStyle w:val="TableParagraph"/>
              <w:spacing w:line="199" w:lineRule="auto" w:before="93"/>
              <w:ind w:left="36" w:right="194"/>
              <w:rPr>
                <w:sz w:val="20"/>
              </w:rPr>
            </w:pPr>
            <w:r>
              <w:rPr>
                <w:w w:val="95"/>
                <w:sz w:val="20"/>
              </w:rPr>
              <w:t>当社の売り上げが前年比4月と5月は2割減、6月は1割減と、い  </w:t>
            </w:r>
            <w:r>
              <w:rPr>
                <w:sz w:val="20"/>
              </w:rPr>
              <w:t>くらか回復基調というものの、震災前を下回っています。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2" w:right="54" w:hanging="202"/>
              <w:rPr>
                <w:sz w:val="20"/>
              </w:rPr>
            </w:pPr>
            <w:r>
              <w:rPr>
                <w:sz w:val="20"/>
              </w:rPr>
              <w:t>ガソリンスタンド</w:t>
            </w:r>
          </w:p>
        </w:tc>
        <w:tc>
          <w:tcPr>
            <w:tcW w:w="5795" w:type="dxa"/>
          </w:tcPr>
          <w:p>
            <w:pPr>
              <w:pStyle w:val="TableParagraph"/>
              <w:spacing w:line="199" w:lineRule="auto" w:before="93"/>
              <w:ind w:left="36" w:right="93"/>
              <w:rPr>
                <w:sz w:val="20"/>
              </w:rPr>
            </w:pPr>
            <w:r>
              <w:rPr>
                <w:sz w:val="20"/>
              </w:rPr>
              <w:t>原発関係の仕事が止まっているので、色々な業種に悪影響を及ぼしていると思います。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企業</w:t>
            </w:r>
          </w:p>
        </w:tc>
        <w:tc>
          <w:tcPr>
            <w:tcW w:w="511" w:type="dxa"/>
            <w:vMerge w:val="restart"/>
          </w:tcPr>
          <w:p>
            <w:pPr>
              <w:pStyle w:val="TableParagraph"/>
              <w:spacing w:before="167"/>
              <w:ind w:left="62"/>
              <w:rPr>
                <w:sz w:val="20"/>
              </w:rPr>
            </w:pPr>
            <w:r>
              <w:rPr>
                <w:sz w:val="20"/>
              </w:rPr>
              <w:t>東青</w:t>
            </w:r>
          </w:p>
        </w:tc>
        <w:tc>
          <w:tcPr>
            <w:tcW w:w="1173" w:type="dxa"/>
          </w:tcPr>
          <w:p>
            <w:pPr>
              <w:pStyle w:val="TableParagraph"/>
              <w:spacing w:before="167"/>
              <w:ind w:left="74" w:right="39"/>
              <w:jc w:val="center"/>
              <w:rPr>
                <w:sz w:val="20"/>
              </w:rPr>
            </w:pPr>
            <w:r>
              <w:rPr>
                <w:sz w:val="20"/>
              </w:rPr>
              <w:t>食料品製造</w:t>
            </w:r>
          </w:p>
        </w:tc>
        <w:tc>
          <w:tcPr>
            <w:tcW w:w="5795" w:type="dxa"/>
          </w:tcPr>
          <w:p>
            <w:pPr>
              <w:pStyle w:val="TableParagraph"/>
              <w:spacing w:line="199" w:lineRule="auto" w:before="93"/>
              <w:ind w:left="36" w:right="94"/>
              <w:rPr>
                <w:sz w:val="20"/>
              </w:rPr>
            </w:pPr>
            <w:r>
              <w:rPr>
                <w:sz w:val="20"/>
              </w:rPr>
              <w:t>接する業種のほとんどが、販売数量が増加に転じたのは一時期のみで、現在は減少していると聞く。</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92" w:right="54" w:hanging="101"/>
              <w:rPr>
                <w:sz w:val="20"/>
              </w:rPr>
            </w:pPr>
            <w:r>
              <w:rPr>
                <w:sz w:val="20"/>
              </w:rPr>
              <w:t>経営コンサルタント</w:t>
            </w:r>
          </w:p>
        </w:tc>
        <w:tc>
          <w:tcPr>
            <w:tcW w:w="5795" w:type="dxa"/>
          </w:tcPr>
          <w:p>
            <w:pPr>
              <w:pStyle w:val="TableParagraph"/>
              <w:spacing w:line="199" w:lineRule="auto" w:before="93"/>
              <w:ind w:left="36" w:right="93"/>
              <w:rPr>
                <w:sz w:val="20"/>
              </w:rPr>
            </w:pPr>
            <w:r>
              <w:rPr>
                <w:sz w:val="20"/>
              </w:rPr>
              <w:t>需要は日常生活必需品に止まる。観光地の不振は厳しい状況が続いている。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津軽</w:t>
            </w:r>
          </w:p>
        </w:tc>
        <w:tc>
          <w:tcPr>
            <w:tcW w:w="1173" w:type="dxa"/>
          </w:tcPr>
          <w:p>
            <w:pPr>
              <w:pStyle w:val="TableParagraph"/>
              <w:spacing w:before="167"/>
              <w:ind w:left="74" w:right="39"/>
              <w:jc w:val="center"/>
              <w:rPr>
                <w:sz w:val="20"/>
              </w:rPr>
            </w:pPr>
            <w:r>
              <w:rPr>
                <w:sz w:val="20"/>
              </w:rPr>
              <w:t>建設</w:t>
            </w:r>
          </w:p>
        </w:tc>
        <w:tc>
          <w:tcPr>
            <w:tcW w:w="5795" w:type="dxa"/>
          </w:tcPr>
          <w:p>
            <w:pPr>
              <w:pStyle w:val="TableParagraph"/>
              <w:spacing w:before="167"/>
              <w:ind w:left="36"/>
              <w:rPr>
                <w:sz w:val="20"/>
              </w:rPr>
            </w:pPr>
            <w:r>
              <w:rPr>
                <w:sz w:val="20"/>
              </w:rPr>
              <w:t>復旧、復興が未だに進んでいない。（目に見えていない）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93" w:right="54" w:hanging="303"/>
              <w:rPr>
                <w:sz w:val="20"/>
              </w:rPr>
            </w:pPr>
            <w:r>
              <w:rPr>
                <w:sz w:val="20"/>
              </w:rPr>
              <w:t>広告・デザイン</w:t>
            </w:r>
          </w:p>
        </w:tc>
        <w:tc>
          <w:tcPr>
            <w:tcW w:w="5795" w:type="dxa"/>
          </w:tcPr>
          <w:p>
            <w:pPr>
              <w:pStyle w:val="TableParagraph"/>
              <w:spacing w:line="199" w:lineRule="auto" w:before="93"/>
              <w:ind w:left="36" w:right="93"/>
              <w:rPr>
                <w:sz w:val="20"/>
              </w:rPr>
            </w:pPr>
            <w:r>
              <w:rPr>
                <w:sz w:val="20"/>
              </w:rPr>
              <w:t>震災直後の状況よりは多少良くなっているが今後の経済不安を考慮し、発注を控える傾向からはまだ脱していない。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before="167"/>
              <w:ind w:left="62"/>
              <w:rPr>
                <w:sz w:val="20"/>
              </w:rPr>
            </w:pPr>
            <w:r>
              <w:rPr>
                <w:sz w:val="20"/>
              </w:rPr>
              <w:t>雇用</w:t>
            </w:r>
          </w:p>
        </w:tc>
        <w:tc>
          <w:tcPr>
            <w:tcW w:w="511" w:type="dxa"/>
          </w:tcPr>
          <w:p>
            <w:pPr>
              <w:pStyle w:val="TableParagraph"/>
              <w:spacing w:before="167"/>
              <w:ind w:right="27"/>
              <w:jc w:val="right"/>
              <w:rPr>
                <w:sz w:val="20"/>
              </w:rPr>
            </w:pPr>
            <w:r>
              <w:rPr>
                <w:sz w:val="20"/>
              </w:rPr>
              <w:t>東青</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line="199" w:lineRule="auto" w:before="93"/>
              <w:ind w:left="36" w:right="94"/>
              <w:rPr>
                <w:sz w:val="20"/>
              </w:rPr>
            </w:pPr>
            <w:r>
              <w:rPr>
                <w:sz w:val="20"/>
              </w:rPr>
              <w:t>震災とその後の自粛ムードが、業種、業態を問わず、中小企業の体力を消耗させているようだ。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before="167"/>
              <w:ind w:right="27"/>
              <w:jc w:val="right"/>
              <w:rPr>
                <w:sz w:val="20"/>
              </w:rPr>
            </w:pPr>
            <w:r>
              <w:rPr>
                <w:sz w:val="20"/>
              </w:rPr>
              <w:t>津軽</w:t>
            </w:r>
          </w:p>
        </w:tc>
        <w:tc>
          <w:tcPr>
            <w:tcW w:w="1173" w:type="dxa"/>
          </w:tcPr>
          <w:p>
            <w:pPr>
              <w:pStyle w:val="TableParagraph"/>
              <w:spacing w:line="199" w:lineRule="auto" w:before="93"/>
              <w:ind w:left="393" w:right="54" w:hanging="303"/>
              <w:rPr>
                <w:sz w:val="20"/>
              </w:rPr>
            </w:pPr>
            <w:r>
              <w:rPr>
                <w:sz w:val="20"/>
              </w:rPr>
              <w:t>新聞社求人広告</w:t>
            </w:r>
          </w:p>
        </w:tc>
        <w:tc>
          <w:tcPr>
            <w:tcW w:w="5795" w:type="dxa"/>
          </w:tcPr>
          <w:p>
            <w:pPr>
              <w:pStyle w:val="TableParagraph"/>
              <w:spacing w:before="167"/>
              <w:ind w:left="36"/>
              <w:rPr>
                <w:sz w:val="20"/>
              </w:rPr>
            </w:pPr>
            <w:r>
              <w:rPr>
                <w:sz w:val="20"/>
              </w:rPr>
              <w:t>広告業界は痛手を被っている。</w:t>
            </w:r>
          </w:p>
        </w:tc>
      </w:tr>
    </w:tbl>
    <w:sectPr>
      <w:pgSz w:w="11900" w:h="16840"/>
      <w:pgMar w:header="0" w:footer="715" w:top="114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pple SD Gothic Neo">
    <w:altName w:val="Apple SD Gothic Ne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55899pt;margin-top:792.106201pt;width:22.9pt;height:12.45pt;mso-position-horizontal-relative:page;mso-position-vertical-relative:page;z-index:-48760" type="#_x0000_t202" filled="false" stroked="false">
          <v:textbox inset="0,0,0,0">
            <w:txbxContent>
              <w:p>
                <w:pPr>
                  <w:pStyle w:val="BodyText"/>
                  <w:spacing w:line="249" w:lineRule="exact"/>
                  <w:ind w:left="20"/>
                </w:pPr>
                <w:r>
                  <w:rPr>
                    <w:w w:val="115"/>
                  </w:rPr>
                  <w:t>-</w:t>
                </w:r>
                <w:r>
                  <w:rPr/>
                  <w:fldChar w:fldCharType="begin"/>
                </w:r>
                <w:r>
                  <w:rPr>
                    <w:w w:val="115"/>
                  </w:rPr>
                  <w:instrText> PAGE </w:instrText>
                </w:r>
                <w:r>
                  <w:rPr/>
                  <w:fldChar w:fldCharType="separate"/>
                </w:r>
                <w:r>
                  <w:rPr/>
                  <w:t>29</w:t>
                </w:r>
                <w:r>
                  <w:rPr/>
                  <w:fldChar w:fldCharType="end"/>
                </w:r>
                <w:r>
                  <w:rPr>
                    <w:w w:val="11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960999pt;margin-top:791.334351pt;width:23.85pt;height:12.95pt;mso-position-horizontal-relative:page;mso-position-vertical-relative:page;z-index:-48736" type="#_x0000_t202" filled="false" stroked="false">
          <v:textbox inset="0,0,0,0">
            <w:txbxContent>
              <w:p>
                <w:pPr>
                  <w:spacing w:line="258"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30</w:t>
                </w:r>
                <w:r>
                  <w:rPr/>
                  <w:fldChar w:fldCharType="end"/>
                </w:r>
                <w:r>
                  <w:rPr>
                    <w:w w:val="115"/>
                    <w:sz w:val="22"/>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960999pt;margin-top:791.334351pt;width:23.85pt;height:12.95pt;mso-position-horizontal-relative:page;mso-position-vertical-relative:page;z-index:-48712" type="#_x0000_t202" filled="false" stroked="false">
          <v:textbox inset="0,0,0,0">
            <w:txbxContent>
              <w:p>
                <w:pPr>
                  <w:spacing w:line="258"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31</w:t>
                </w:r>
                <w:r>
                  <w:rPr/>
                  <w:fldChar w:fldCharType="end"/>
                </w:r>
                <w:r>
                  <w:rPr>
                    <w:w w:val="115"/>
                    <w:sz w:val="22"/>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921997pt;margin-top:791.231201pt;width:46.2pt;height:13.05pt;mso-position-horizontal-relative:page;mso-position-vertical-relative:page;z-index:-4868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32</w:t>
                </w:r>
                <w:r>
                  <w:rPr/>
                  <w:fldChar w:fldCharType="end"/>
                </w:r>
                <w:r>
                  <w:rPr>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58"/>
      <w:outlineLvl w:val="1"/>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tokei-58user</dc:creator>
  <dc:title>&lt;906B8DD08AD69841816931313037816A95F18D908F912E786C73&gt;</dc:title>
  <dcterms:created xsi:type="dcterms:W3CDTF">2019-02-20T11:04:05Z</dcterms:created>
  <dcterms:modified xsi:type="dcterms:W3CDTF">2019-02-20T11:04:05Z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Creator">
    <vt:lpwstr>PScript5.dll Version 5.2.2</vt:lpwstr>
  </property>
  <property fmtid="{D5CDD505-2E9C-101B-9397-08002B2CF9AE}" pid="4" name="LastSaved">
    <vt:filetime>2019-02-20T00:00:00Z</vt:filetime>
  </property>
</Properties>
</file>