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平成１４年９月分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425"/>
        <w:gridCol w:w="3429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2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252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26"/>
              <w:rPr>
                <w:sz w:val="22"/>
              </w:rPr>
            </w:pPr>
            <w:r>
              <w:rPr>
                <w:sz w:val="22"/>
              </w:rPr>
              <w:t>５か月連続５０％を上回った）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25" w:type="dxa"/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２か月連続５０％を上回った）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７１．４％</w:t>
            </w:r>
          </w:p>
        </w:tc>
        <w:tc>
          <w:tcPr>
            <w:tcW w:w="42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３か月連続５０％を上回った）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33" w:right="442" w:firstLine="0"/>
        <w:jc w:val="center"/>
        <w:rPr>
          <w:sz w:val="31"/>
        </w:rPr>
      </w:pPr>
      <w:r>
        <w:rPr>
          <w:spacing w:val="-61"/>
          <w:sz w:val="31"/>
        </w:rPr>
        <w:t>平成１４年１２月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50"/>
        <w:gridCol w:w="435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７７．８％</w:t>
            </w:r>
          </w:p>
        </w:tc>
        <w:tc>
          <w:tcPr>
            <w:tcW w:w="4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５か月連続５０％を上回った）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50" w:type="dxa"/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２か月連続５０％を上回った）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７１．４％</w:t>
            </w:r>
          </w:p>
        </w:tc>
        <w:tc>
          <w:tcPr>
            <w:tcW w:w="4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３か月連続５０％を上回った）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ind w:left="405"/>
      </w:pPr>
      <w:r>
        <w:rPr/>
        <w:t>９月の一致指数は、消費関連、雇用関連の指標などがプラスであったことから、</w:t>
      </w:r>
    </w:p>
    <w:p>
      <w:pPr>
        <w:spacing w:line="202" w:lineRule="exact" w:before="158"/>
        <w:ind w:left="165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spacing w:line="737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4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348"/>
        <w:gridCol w:w="3376"/>
        <w:gridCol w:w="1378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海上貨物出入量（八戸港）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1004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22"/>
              </w:rPr>
              <w:t>消費者物価指数</w:t>
            </w:r>
            <w:r>
              <w:rPr>
                <w:w w:val="105"/>
                <w:sz w:val="16"/>
              </w:rPr>
              <w:t>（帰属家賃除く総合）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1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4" w:right="8"/>
              <w:jc w:val="center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8"/>
              <w:jc w:val="center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6"/>
              <w:jc w:val="center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68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28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0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7168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bfbfff" stroked="false">
              <v:path arrowok="t"/>
              <v:fill type="solid"/>
            </v:shape>
            <v:line style="position:absolute" from="6518,1252" to="6518,3772" stroked="true" strokeweight=".75pt" strokecolor="#bfbf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bfbfff" stroked="false">
              <v:path arrowok="t"/>
              <v:fill type="solid"/>
            </v:shape>
            <v:line style="position:absolute" from="8723,1252" to="8723,3772" stroked="true" strokeweight=".75pt" strokecolor="#bfbfff">
              <v:stroke dashstyle="solid"/>
            </v:line>
            <v:line style="position:absolute" from="8753,1252" to="8753,3772" stroked="true" strokeweight="2.25pt" strokecolor="#bfbf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270;height:1980" coordorigin="3795,1522" coordsize="627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,10035,1807,10065,180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7072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bfbfff" stroked="false">
              <v:path arrowok="t"/>
              <v:fill type="solid"/>
            </v:shape>
            <v:line style="position:absolute" from="3743,740" to="3743,3230" stroked="true" strokeweight=".75pt" strokecolor="#bfbf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bfbfff" stroked="false">
              <v:path arrowok="t"/>
              <v:fill type="solid"/>
            </v:shape>
            <v:line style="position:absolute" from="8663,740" to="8663,3230" stroked="true" strokeweight=".75pt" strokecolor="#bfbf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bfbf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560;height:1950" coordorigin="8505,1010" coordsize="156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,10035,1295,10065,185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bfbfff" stroked="false">
              <v:path arrowok="t"/>
              <v:fill type="solid"/>
            </v:shape>
            <v:line style="position:absolute" from="8558,-3321" to="8558,-831" stroked="true" strokeweight=".75pt" strokecolor="#bfbfff">
              <v:stroke dashstyle="solid"/>
            </v:line>
            <v:rect style="position:absolute;left:8565;top:-3321;width:195;height:2490" filled="true" fillcolor="#bfbf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66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66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66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66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66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66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66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66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66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66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66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6666">
              <v:path arrowok="t"/>
              <v:stroke dashstyle="solid"/>
            </v:shape>
            <v:shape style="position:absolute;left:8805;top:-2976;width:1245;height:1785" coordorigin="8805,-2976" coordsize="124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,10020,-2256,10050,-2616e" filled="false" stroked="true" strokeweight="2.25pt" strokecolor="#3366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bfbfff" stroked="false">
              <v:fill type="solid"/>
            </v:rect>
            <v:line style="position:absolute" from="2288,143" to="2288,9998" stroked="true" strokeweight=".75pt" strokecolor="#bfbf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bfbfff" stroked="false">
              <v:path arrowok="t"/>
              <v:fill type="solid"/>
            </v:shape>
            <v:line style="position:absolute" from="4283,143" to="4283,9998" stroked="true" strokeweight=".75pt" strokecolor="#bfbfff">
              <v:stroke dashstyle="solid"/>
            </v:line>
            <v:line style="position:absolute" from="4313,143" to="4313,9998" stroked="true" strokeweight="2.25pt" strokecolor="#bfbfff">
              <v:stroke dashstyle="solid"/>
            </v:line>
            <v:line style="position:absolute" from="4343,143" to="4343,9998" stroked="true" strokeweight=".75pt" strokecolor="#bfbf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bfbfff" stroked="false">
              <v:path arrowok="t"/>
              <v:fill type="solid"/>
            </v:shape>
            <v:line style="position:absolute" from="6338,143" to="6338,9998" stroked="true" strokeweight=".75pt" strokecolor="#bfbf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bfbfff" stroked="false">
              <v:path arrowok="t"/>
              <v:fill type="solid"/>
            </v:shape>
            <v:line style="position:absolute" from="8333,143" to="8333,9998" stroked="true" strokeweight=".75pt" strokecolor="#bfbfff">
              <v:stroke dashstyle="solid"/>
            </v:line>
            <v:line style="position:absolute" from="8363,143" to="8363,9998" stroked="true" strokeweight="2.25pt" strokecolor="#bfbfff">
              <v:stroke dashstyle="solid"/>
            </v:line>
            <v:line style="position:absolute" from="8393,143" to="8393,9998" stroked="true" strokeweight=".75pt" strokecolor="#bfbfff">
              <v:stroke dashstyle="solid"/>
            </v:line>
            <v:rect style="position:absolute;left:8400;top:143;width:270;height:9855" filled="true" fillcolor="#bfbf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980;height:2160" coordorigin="1935,6293" coordsize="798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,9885,8183,9915,8078e" filled="false" stroked="true" strokeweight="2.25pt" strokecolor="#0000ff">
              <v:path arrowok="t"/>
              <v:stroke dashstyle="solid"/>
            </v:shape>
            <v:shape style="position:absolute;left:1935;top:1958;width:7980;height:4200" coordorigin="1935,1958" coordsize="798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,9885,3413,9915,3398e" filled="false" stroked="true" strokeweight="2.25pt" strokecolor="#ff0000">
              <v:path arrowok="t"/>
              <v:stroke dashstyle="solid"/>
            </v:shape>
            <v:shape style="position:absolute;left:1935;top:4733;width:7980;height:3555" coordorigin="1935,4733" coordsize="798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,9885,7883,9915,7808e" filled="false" stroked="true" strokeweight=".75pt" strokecolor="#3366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6544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6520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6496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4月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4,326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4,258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3,981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33,589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34,087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31,896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6,859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35.9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15,623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17,710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77.9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52.7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52.3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207,285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193,771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8,160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8,425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3,030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2,554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2,635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2,520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7,664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8,189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288,820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258,563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280,458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285,839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301,752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10.0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13,904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8,375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6472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6448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24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00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76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52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28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04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80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56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32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08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84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60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36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12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88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64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40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16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20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96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72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48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24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00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76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52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5992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68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44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74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74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750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72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745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740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738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73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3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3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橡DI(H14.9).XDW</dc:title>
  <dcterms:created xsi:type="dcterms:W3CDTF">2019-02-21T02:05:38Z</dcterms:created>
  <dcterms:modified xsi:type="dcterms:W3CDTF">2019-02-21T02:05:38Z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2002-11-26T00:00:00Z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2002-11-26T00:00:00Z</vt:filetime>
  </property>
</Properties>
</file>