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919998pt;margin-top:323.768585pt;width:61.45pt;height:15.35pt;mso-position-horizontal-relative:page;mso-position-vertical-relative:page;z-index:-22194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１００％</w:t>
                  </w:r>
                </w:p>
              </w:txbxContent>
            </v:textbox>
            <w10:wrap type="none"/>
          </v:shape>
        </w:pict>
      </w: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/>
        <w:pict>
          <v:shape style="position:absolute;margin-left:227.279999pt;margin-top:124.868973pt;width:46.1pt;height:15.35pt;mso-position-horizontal-relative:page;mso-position-vertical-relative:paragraph;z-index:-22192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>
          <w:sz w:val="34"/>
        </w:rPr>
        <w:t>平成２４年３月分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39999pt;margin-top:13.877607pt;width:393.15pt;height:109.2pt;mso-position-horizontal-relative:page;mso-position-vertical-relative:paragraph;z-index:-808;mso-wrap-distance-left:0;mso-wrap-distance-right:0" coordorigin="1973,278" coordsize="7863,2184">
            <v:rect style="position:absolute;left:1972;top:277;width:58;height:20" filled="true" fillcolor="#3366ff" stroked="false">
              <v:fill type="solid"/>
            </v:rect>
            <v:rect style="position:absolute;left:1972;top:277;width:20;height:58" filled="true" fillcolor="#3366ff" stroked="false">
              <v:fill type="solid"/>
            </v:rect>
            <v:rect style="position:absolute;left:1972;top:2442;width:58;height:20" filled="true" fillcolor="#3366ff" stroked="false">
              <v:fill type="solid"/>
            </v:rect>
            <v:line style="position:absolute" from="1982,335" to="1982,2461" stroked="true" strokeweight=".96pt" strokecolor="#3366ff">
              <v:stroke dashstyle="solid"/>
            </v:line>
            <v:line style="position:absolute" from="2021,316" to="2021,2423" stroked="true" strokeweight=".96pt" strokecolor="#3366ff">
              <v:stroke dashstyle="solid"/>
            </v:line>
            <v:line style="position:absolute" from="9787,316" to="9787,2423" stroked="true" strokeweight=".96pt" strokecolor="#3366ff">
              <v:stroke dashstyle="solid"/>
            </v:line>
            <v:line style="position:absolute" from="9826,278" to="9826,2461" stroked="true" strokeweight=".96pt" strokecolor="#3366ff">
              <v:stroke dashstyle="solid"/>
            </v:line>
            <v:rect style="position:absolute;left:9777;top:277;width:58;height:20" filled="true" fillcolor="#3366ff" stroked="false">
              <v:fill type="solid"/>
            </v:rect>
            <v:line style="position:absolute" from="2030,287" to="9777,287" stroked="true" strokeweight=".96pt" strokecolor="#3366ff">
              <v:stroke dashstyle="solid"/>
            </v:line>
            <v:line style="position:absolute" from="2030,326" to="9777,326" stroked="true" strokeweight=".96pt" strokecolor="#3366ff">
              <v:stroke dashstyle="solid"/>
            </v:line>
            <v:rect style="position:absolute;left:9777;top:2442;width:58;height:20" filled="true" fillcolor="#3366ff" stroked="false">
              <v:fill type="solid"/>
            </v:rect>
            <v:line style="position:absolute" from="2030,2413" to="9777,2413" stroked="true" strokeweight=".95pt" strokecolor="#3366ff">
              <v:stroke dashstyle="solid"/>
            </v:line>
            <v:line style="position:absolute" from="2030,2452" to="9777,2452" stroked="true" strokeweight=".96pt" strokecolor="#3366ff">
              <v:stroke dashstyle="solid"/>
            </v:line>
            <v:rect style="position:absolute;left:3580;top:1187;width:2071;height:404" filled="true" fillcolor="#ffffff" stroked="false">
              <v:fill type="solid"/>
            </v:rect>
            <v:rect style="position:absolute;left:3883;top:457;width:1721;height:509" filled="true" fillcolor="#ffffff" stroked="false">
              <v:fill type="solid"/>
            </v:rect>
            <v:shape style="position:absolute;left:5980;top:1920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（７か月連続で５０％を上回った）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871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2164;top:1871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0;top:1267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（８か月連続で５０％を上回った）</w:t>
                    </w:r>
                  </w:p>
                </w:txbxContent>
              </v:textbox>
              <w10:wrap type="none"/>
            </v:shape>
            <v:shape style="position:absolute;left:3693;top:1266;width:1863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１００．０％</w:t>
                    </w:r>
                  </w:p>
                </w:txbxContent>
              </v:textbox>
              <w10:wrap type="none"/>
            </v:shape>
            <v:shape style="position:absolute;left:2164;top:1218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0;top:614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972;top:572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4;top:565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spacing w:before="43"/>
        <w:ind w:left="163" w:right="475" w:firstLine="0"/>
        <w:jc w:val="center"/>
        <w:rPr>
          <w:sz w:val="30"/>
        </w:rPr>
      </w:pPr>
      <w:r>
        <w:rPr>
          <w:sz w:val="30"/>
        </w:rPr>
        <w:t>平成２４年６月</w:t>
      </w:r>
    </w:p>
    <w:p>
      <w:pPr>
        <w:spacing w:before="242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5pt;height:74.2pt;mso-position-horizontal-relative:char;mso-position-vertical-relative:line" coordorigin="0,0" coordsize="9639,1484">
            <v:rect style="position:absolute;left:0;top:0;width:58;height:19" filled="true" fillcolor="#000000" stroked="false">
              <v:fill type="solid"/>
            </v:rect>
            <v:rect style="position:absolute;left:0;top:0;width:19;height:58" filled="true" fillcolor="#000000" stroked="false">
              <v:fill type="solid"/>
            </v:rect>
            <v:rect style="position:absolute;left:0;top:1464;width:58;height:20" filled="true" fillcolor="#000000" stroked="false">
              <v:fill type="solid"/>
            </v:rect>
            <v:line style="position:absolute" from="9,58" to="9,1483" stroked="true" strokeweight=".95pt" strokecolor="#000000">
              <v:stroke dashstyle="solid"/>
            </v:line>
            <v:line style="position:absolute" from="48,38" to="48,1445" stroked="true" strokeweight=".96pt" strokecolor="#000000">
              <v:stroke dashstyle="solid"/>
            </v:line>
            <v:line style="position:absolute" from="9590,38" to="9590,1445" stroked="true" strokeweight=".96pt" strokecolor="#000000">
              <v:stroke dashstyle="solid"/>
            </v:line>
            <v:line style="position:absolute" from="9629,0" to="9629,1483" stroked="true" strokeweight=".96pt" strokecolor="#000000">
              <v:stroke dashstyle="solid"/>
            </v:line>
            <v:rect style="position:absolute;left:9580;top:0;width:58;height:19" filled="true" fillcolor="#000000" stroked="false">
              <v:fill type="solid"/>
            </v:rect>
            <v:line style="position:absolute" from="58,9" to="9581,9" stroked="true" strokeweight=".95pt" strokecolor="#000000">
              <v:stroke dashstyle="solid"/>
            </v:line>
            <v:line style="position:absolute" from="58,48" to="9581,48" stroked="true" strokeweight=".96pt" strokecolor="#000000">
              <v:stroke dashstyle="solid"/>
            </v:line>
            <v:rect style="position:absolute;left:9580;top:1464;width:58;height:20" filled="true" fillcolor="#000000" stroked="false">
              <v:fill type="solid"/>
            </v:rect>
            <v:line style="position:absolute" from="58,1435" to="9581,1435" stroked="true" strokeweight=".96pt" strokecolor="#000000">
              <v:stroke dashstyle="solid"/>
            </v:line>
            <v:line style="position:absolute" from="58,1474" to="9581,1474" stroked="true" strokeweight=".96pt" strokecolor="#000000">
              <v:stroke dashstyle="solid"/>
            </v:line>
            <v:rect style="position:absolute;left:3237;top:86;width:1572;height:368" filled="true" fillcolor="#ffffff" stroked="false">
              <v:fill type="solid"/>
            </v:rect>
            <v:rect style="position:absolute;left:3218;top:465;width:1591;height:507" filled="true" fillcolor="#ffffff" stroked="false">
              <v:fill type="solid"/>
            </v:rect>
            <v:shape style="position:absolute;left:5304;top:1089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（７か月連続で５０％を上回った）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4;top:614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（８か月連続で５０％を上回った）</w:t>
                    </w:r>
                  </w:p>
                </w:txbxContent>
              </v:textbox>
              <w10:wrap type="none"/>
            </v:shape>
            <v:shape style="position:absolute;left:3326;top:611;width:14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１００．０％</w:t>
                    </w:r>
                  </w:p>
                </w:txbxContent>
              </v:textbox>
              <w10:wrap type="none"/>
            </v:shape>
            <v:shape style="position:absolute;left:904;top:623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4;top:139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566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8"/>
        </w:rPr>
      </w:pPr>
    </w:p>
    <w:p>
      <w:pPr>
        <w:pStyle w:val="Heading2"/>
        <w:spacing w:line="196" w:lineRule="auto" w:before="97"/>
        <w:ind w:left="371" w:right="847" w:firstLine="240"/>
      </w:pPr>
      <w:r>
        <w:rPr/>
        <w:pict>
          <v:shape style="position:absolute;margin-left:258.600006pt;margin-top:-74.505035pt;width:36pt;height:12pt;mso-position-horizontal-relative:page;mso-position-vertical-relative:paragraph;z-index:-22165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600006pt;margin-top:-50.745041pt;width:48pt;height:12pt;mso-position-horizontal-relative:page;mso-position-vertical-relative:paragraph;z-index:-2216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１００％</w:t>
                  </w:r>
                </w:p>
              </w:txbxContent>
            </v:textbox>
            <w10:wrap type="none"/>
          </v:shape>
        </w:pict>
      </w:r>
      <w:r>
        <w:rPr/>
        <w:t>３月の一致指数は、消費・生産・雇用関連等の指標が全てプラスになったことから、５０％を上回った。</w:t>
      </w:r>
    </w:p>
    <w:p>
      <w:pPr>
        <w:pStyle w:val="BodyText"/>
      </w:pPr>
    </w:p>
    <w:p>
      <w:pPr>
        <w:spacing w:line="576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444"/>
        <w:gridCol w:w="1346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4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所定外労働時間指数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05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2348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468"/>
              <w:rPr>
                <w:sz w:val="22"/>
              </w:rPr>
            </w:pPr>
            <w:r>
              <w:rPr>
                <w:sz w:val="22"/>
              </w:rPr>
              <w:t>大型小売店販売額（既存店） 旅行取扱高</w:t>
            </w:r>
          </w:p>
          <w:p>
            <w:pPr>
              <w:pStyle w:val="TableParagraph"/>
              <w:spacing w:line="276" w:lineRule="auto"/>
              <w:ind w:left="37" w:right="1793"/>
              <w:rPr>
                <w:sz w:val="22"/>
              </w:rPr>
            </w:pPr>
            <w:r>
              <w:rPr>
                <w:sz w:val="22"/>
              </w:rPr>
              <w:t>鉱工業生産指数大口電力使用量</w:t>
            </w:r>
          </w:p>
          <w:p>
            <w:pPr>
              <w:pStyle w:val="TableParagraph"/>
              <w:spacing w:line="276" w:lineRule="auto"/>
              <w:ind w:left="37" w:right="910"/>
              <w:rPr>
                <w:sz w:val="22"/>
              </w:rPr>
            </w:pPr>
            <w:r>
              <w:rPr>
                <w:sz w:val="22"/>
              </w:rPr>
              <w:t>有効求人倍率（全数） 輸入通関実績（八戸港</w:t>
            </w:r>
            <w:r>
              <w:rPr>
                <w:spacing w:val="-15"/>
                <w:sz w:val="22"/>
              </w:rPr>
              <w:t>）</w:t>
            </w:r>
          </w:p>
          <w:p>
            <w:pPr>
              <w:pStyle w:val="TableParagraph"/>
              <w:spacing w:line="293" w:lineRule="exact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6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3"/>
              <w:ind w:left="26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line="294" w:lineRule="exact" w:before="44"/>
              <w:ind w:left="26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w w:val="110"/>
                <w:sz w:val="22"/>
              </w:rPr>
              <w:t>常用雇用指数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10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家計消費支出（勤労者世帯</w:t>
            </w:r>
            <w:r>
              <w:rPr>
                <w:w w:val="155"/>
                <w:sz w:val="22"/>
              </w:rPr>
              <w:t>:</w:t>
            </w:r>
            <w:r>
              <w:rPr>
                <w:w w:val="105"/>
                <w:sz w:val="22"/>
              </w:rPr>
              <w:t>実質</w:t>
            </w:r>
          </w:p>
        </w:tc>
        <w:tc>
          <w:tcPr>
            <w:tcW w:w="134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02"/>
        <w:gridCol w:w="513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5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4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1344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336;height:2200" coordorigin="1682,1349" coordsize="8336,2200" path="m10018,1884l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3,10003,1896,10015,1896,10018,1891,10018,1884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2008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340;height:1719" coordorigin="1654,773" coordsize="8340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9994,773l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94,773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7996;height:1008" coordorigin="1715,1982" coordsize="7996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708;height:1587" coordorigin="8191,792" coordsize="708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8588,1948l8575,2052,8594,2054,8588,1948xm8652,802l8614,1738,8588,1948,8594,2054,8633,1740,8664,989,8652,802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897,1106l8885,1106,8880,1109,8880,1113,8842,1426,8851,1418,8862,1418,8899,1116,8899,1111,8897,1106xm8862,1418l8851,1418,8842,1426,8861,1426,8862,1418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1176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652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913;width:7654;height:208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642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8080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4128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20176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23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10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42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207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65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231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70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95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268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3008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13" w:lineRule="auto" w:before="1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157" w:footer="783" w:top="142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2984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60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36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12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88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64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40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16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92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68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2744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2720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96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72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48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24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00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76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52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28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04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80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56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32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08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84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12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88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64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40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16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68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2360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336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192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144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120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  <w:spacing w:before="7" w:after="1"/>
        <w:rPr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3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5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160" w:footer="783" w:top="144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216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01.7pt;height:16.05pt;mso-position-horizontal-relative:page;mso-position-vertical-relative:page;z-index:-2221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44.65pt;height:16.05pt;mso-position-horizontal-relative:page;mso-position-vertical-relative:page;z-index:-221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359985pt;margin-top:58.960625pt;width:42.2pt;height:12pt;mso-position-horizontal-relative:page;mso-position-vertical-relative:page;z-index:-2219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（参考）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2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21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2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20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116pt;height:16.05pt;mso-position-horizontal-relative:page;mso-position-vertical-relative:page;z-index:-222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52345pt;width:57.1pt;height:15.7pt;mso-position-horizontal-relative:page;mso-position-vertical-relative:page;z-index:-222016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480003pt;margin-top:58.23875pt;width:45.2pt;height:12.8pt;mso-position-horizontal-relative:page;mso-position-vertical-relative:page;z-index:-221992" type="#_x0000_t202" filled="false" stroked="false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（参考）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18.75pt;height:15.35pt;mso-position-horizontal-relative:page;mso-position-vertical-relative:page;z-index:-22196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★2403DI月報（参考）改定後.xls</dc:title>
  <dcterms:created xsi:type="dcterms:W3CDTF">2019-02-21T00:45:41Z</dcterms:created>
  <dcterms:modified xsi:type="dcterms:W3CDTF">2019-02-21T00:45:41Z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★2403DI月報（参考）改定後.xls</vt:lpwstr>
  </property>
  <property fmtid="{D5CDD505-2E9C-101B-9397-08002B2CF9AE}" pid="4" name="LastSaved">
    <vt:filetime>2019-02-21T00:00:00Z</vt:filetime>
  </property>
</Properties>
</file>