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F62B76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資料５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666484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66484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666484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666484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3F132A">
        <w:rPr>
          <w:rFonts w:ascii="ＭＳ Ｐゴシック" w:eastAsia="ＭＳ Ｐゴシック" w:hAnsi="ＭＳ Ｐゴシック" w:hint="eastAsia"/>
          <w:sz w:val="24"/>
        </w:rPr>
        <w:t>2</w:t>
      </w:r>
      <w:r w:rsidR="00F828F7">
        <w:rPr>
          <w:rFonts w:ascii="ＭＳ Ｐゴシック" w:eastAsia="ＭＳ Ｐゴシック" w:hAnsi="ＭＳ Ｐゴシック" w:hint="eastAsia"/>
          <w:sz w:val="24"/>
        </w:rPr>
        <w:t>1</w:t>
      </w:r>
      <w:r w:rsidR="003F132A">
        <w:rPr>
          <w:rFonts w:ascii="ＭＳ Ｐゴシック" w:eastAsia="ＭＳ Ｐゴシック" w:hAnsi="ＭＳ Ｐゴシック" w:hint="eastAsia"/>
          <w:sz w:val="24"/>
        </w:rPr>
        <w:t>9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8E277C">
        <w:rPr>
          <w:rFonts w:ascii="ＭＳ Ｐゴシック" w:eastAsia="ＭＳ Ｐゴシック" w:hAnsi="ＭＳ Ｐゴシック" w:hint="eastAsia"/>
          <w:sz w:val="24"/>
        </w:rPr>
        <w:t>094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F828F7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8E277C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828F7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D84E5B">
        <w:rPr>
          <w:rFonts w:ascii="ＭＳ Ｐゴシック" w:eastAsia="ＭＳ Ｐゴシック" w:hAnsi="ＭＳ Ｐゴシック" w:hint="eastAsia"/>
          <w:sz w:val="24"/>
        </w:rPr>
        <w:t>2</w:t>
      </w:r>
      <w:r w:rsidR="00F828F7">
        <w:rPr>
          <w:rFonts w:ascii="ＭＳ Ｐゴシック" w:eastAsia="ＭＳ Ｐゴシック" w:hAnsi="ＭＳ Ｐゴシック"/>
          <w:sz w:val="24"/>
        </w:rPr>
        <w:t>42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8E277C">
        <w:rPr>
          <w:rFonts w:ascii="ＭＳ Ｐゴシック" w:eastAsia="ＭＳ Ｐゴシック" w:hAnsi="ＭＳ Ｐゴシック"/>
          <w:sz w:val="24"/>
        </w:rPr>
        <w:t>264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F828F7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8E277C">
        <w:rPr>
          <w:rFonts w:ascii="ＭＳ Ｐゴシック" w:eastAsia="ＭＳ Ｐゴシック" w:hAnsi="ＭＳ Ｐゴシック"/>
          <w:sz w:val="24"/>
        </w:rPr>
        <w:t>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828F7">
        <w:rPr>
          <w:rFonts w:ascii="ＭＳ Ｐゴシック" w:eastAsia="ＭＳ Ｐゴシック" w:hAnsi="ＭＳ Ｐゴシック" w:hint="eastAsia"/>
          <w:sz w:val="24"/>
        </w:rPr>
        <w:t>増）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F828F7">
        <w:rPr>
          <w:rFonts w:ascii="ＭＳ Ｐゴシック" w:eastAsia="ＭＳ Ｐゴシック" w:hAnsi="ＭＳ Ｐゴシック"/>
        </w:rPr>
        <w:t>7</w:t>
      </w:r>
      <w:r w:rsidR="000C7143">
        <w:rPr>
          <w:rFonts w:ascii="ＭＳ Ｐゴシック" w:eastAsia="ＭＳ Ｐゴシック" w:hAnsi="ＭＳ Ｐゴシック"/>
        </w:rPr>
        <w:t>,</w:t>
      </w:r>
      <w:r w:rsidR="008E277C">
        <w:rPr>
          <w:rFonts w:ascii="ＭＳ Ｐゴシック" w:eastAsia="ＭＳ Ｐゴシック" w:hAnsi="ＭＳ Ｐゴシック"/>
        </w:rPr>
        <w:t>186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F828F7">
        <w:rPr>
          <w:rFonts w:ascii="ＭＳ Ｐゴシック" w:eastAsia="ＭＳ Ｐゴシック" w:hAnsi="ＭＳ Ｐゴシック"/>
        </w:rPr>
        <w:t>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828F7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F828F7">
        <w:rPr>
          <w:rFonts w:ascii="ＭＳ Ｐゴシック" w:eastAsia="ＭＳ Ｐゴシック" w:hAnsi="ＭＳ Ｐゴシック"/>
        </w:rPr>
        <w:t>40</w:t>
      </w:r>
      <w:r w:rsidR="00086086">
        <w:rPr>
          <w:rFonts w:ascii="ＭＳ Ｐゴシック" w:eastAsia="ＭＳ Ｐゴシック" w:hAnsi="ＭＳ Ｐゴシック"/>
        </w:rPr>
        <w:t>,</w:t>
      </w:r>
      <w:r w:rsidR="008E277C">
        <w:rPr>
          <w:rFonts w:ascii="ＭＳ Ｐゴシック" w:eastAsia="ＭＳ Ｐゴシック" w:hAnsi="ＭＳ Ｐゴシック"/>
        </w:rPr>
        <w:t>203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0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D84E5B">
        <w:rPr>
          <w:rFonts w:ascii="ＭＳ Ｐゴシック" w:eastAsia="ＭＳ Ｐゴシック" w:hAnsi="ＭＳ Ｐゴシック" w:hint="eastAsia"/>
        </w:rPr>
        <w:t>9</w:t>
      </w:r>
      <w:r w:rsidR="008E277C">
        <w:rPr>
          <w:rFonts w:ascii="ＭＳ Ｐゴシック" w:eastAsia="ＭＳ Ｐゴシック" w:hAnsi="ＭＳ Ｐゴシック"/>
        </w:rPr>
        <w:t>08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F828F7"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F828F7">
        <w:rPr>
          <w:rFonts w:ascii="ＭＳ Ｐゴシック" w:eastAsia="ＭＳ Ｐゴシック" w:hAnsi="ＭＳ Ｐゴシック"/>
        </w:rPr>
        <w:t>0</w:t>
      </w:r>
      <w:r w:rsidR="008E277C">
        <w:rPr>
          <w:rFonts w:ascii="ＭＳ Ｐゴシック" w:eastAsia="ＭＳ Ｐゴシック" w:hAnsi="ＭＳ Ｐゴシック"/>
        </w:rPr>
        <w:t>61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666484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51.</w:t>
      </w:r>
      <w:r w:rsidR="008E277C">
        <w:rPr>
          <w:rFonts w:ascii="ＭＳ Ｐゴシック" w:eastAsia="ＭＳ Ｐゴシック" w:hAnsi="ＭＳ Ｐゴシック"/>
        </w:rPr>
        <w:t>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F828F7">
        <w:rPr>
          <w:rFonts w:ascii="ＭＳ Ｐゴシック" w:eastAsia="ＭＳ Ｐゴシック" w:hAnsi="ＭＳ Ｐゴシック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8374AE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55.</w:t>
      </w:r>
      <w:r w:rsidR="008E277C"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8374AE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3</w:t>
      </w:r>
      <w:r w:rsidR="00E1496C">
        <w:rPr>
          <w:rFonts w:ascii="ＭＳ Ｐゴシック" w:eastAsia="ＭＳ Ｐゴシック" w:hAnsi="ＭＳ Ｐゴシック" w:hint="eastAsia"/>
        </w:rPr>
        <w:t>％</w:t>
      </w:r>
      <w:r w:rsidR="00D84E5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40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4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1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0E47F4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40</w:t>
      </w:r>
      <w:r w:rsidR="00C051B7">
        <w:rPr>
          <w:rFonts w:ascii="ＭＳ Ｐゴシック" w:eastAsia="ＭＳ Ｐゴシック" w:hAnsi="ＭＳ Ｐゴシック"/>
        </w:rPr>
        <w:t>.</w:t>
      </w:r>
      <w:r w:rsidR="008E277C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5166BC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628C4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0</w:t>
      </w:r>
      <w:r w:rsidR="002C3515">
        <w:rPr>
          <w:rFonts w:ascii="ＭＳ Ｐゴシック" w:eastAsia="ＭＳ Ｐゴシック" w:hAnsi="ＭＳ Ｐゴシック" w:hint="eastAsia"/>
        </w:rPr>
        <w:t>.</w:t>
      </w:r>
      <w:r w:rsidR="00F828F7">
        <w:rPr>
          <w:rFonts w:ascii="ＭＳ Ｐゴシック" w:eastAsia="ＭＳ Ｐゴシック" w:hAnsi="ＭＳ Ｐゴシック"/>
        </w:rPr>
        <w:t>7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D84E5B">
        <w:rPr>
          <w:rFonts w:ascii="ＭＳ Ｐゴシック" w:eastAsia="ＭＳ Ｐゴシック" w:hAnsi="ＭＳ Ｐゴシック" w:hint="eastAsia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F828F7">
        <w:rPr>
          <w:rFonts w:ascii="ＭＳ Ｐゴシック" w:eastAsia="ＭＳ Ｐゴシック" w:hAnsi="ＭＳ Ｐゴシック"/>
        </w:rPr>
        <w:t>0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D84E5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4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D84E5B">
        <w:rPr>
          <w:rFonts w:ascii="ＭＳ Ｐゴシック" w:eastAsia="ＭＳ Ｐゴシック" w:hAnsi="ＭＳ Ｐゴシック" w:hint="eastAsia"/>
        </w:rPr>
        <w:t>減</w:t>
      </w:r>
      <w:r w:rsidR="008B79F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D84E5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666484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1D6F9B">
        <w:rPr>
          <w:rFonts w:ascii="ＭＳ Ｐゴシック" w:eastAsia="ＭＳ Ｐゴシック" w:hAnsi="ＭＳ Ｐゴシック" w:hint="eastAsia"/>
        </w:rPr>
        <w:t>1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F828F7">
        <w:rPr>
          <w:rFonts w:ascii="ＭＳ Ｐゴシック" w:eastAsia="ＭＳ Ｐゴシック" w:hAnsi="ＭＳ Ｐゴシック"/>
        </w:rPr>
        <w:t>5</w:t>
      </w:r>
      <w:r w:rsidR="008E277C">
        <w:rPr>
          <w:rFonts w:ascii="ＭＳ Ｐゴシック" w:eastAsia="ＭＳ Ｐゴシック" w:hAnsi="ＭＳ Ｐゴシック"/>
        </w:rPr>
        <w:t>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8E277C">
        <w:rPr>
          <w:rFonts w:ascii="ＭＳ Ｐゴシック" w:eastAsia="ＭＳ Ｐゴシック" w:hAnsi="ＭＳ Ｐゴシック"/>
        </w:rPr>
        <w:t>39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1D6F9B">
        <w:rPr>
          <w:rFonts w:ascii="ＭＳ Ｐゴシック" w:eastAsia="ＭＳ Ｐゴシック" w:hAnsi="ＭＳ Ｐゴシック" w:hint="eastAsia"/>
        </w:rPr>
        <w:t>1.</w:t>
      </w:r>
      <w:r w:rsidR="00D84E5B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D84E5B">
        <w:rPr>
          <w:rFonts w:ascii="ＭＳ Ｐゴシック" w:eastAsia="ＭＳ Ｐゴシック" w:hAnsi="ＭＳ Ｐゴシック" w:hint="eastAsia"/>
        </w:rPr>
        <w:t>4</w:t>
      </w:r>
      <w:r w:rsidR="008E277C">
        <w:rPr>
          <w:rFonts w:ascii="ＭＳ Ｐゴシック" w:eastAsia="ＭＳ Ｐゴシック" w:hAnsi="ＭＳ Ｐゴシック"/>
        </w:rPr>
        <w:t>9</w:t>
      </w:r>
      <w:r w:rsidR="00813314">
        <w:rPr>
          <w:rFonts w:ascii="ＭＳ Ｐゴシック" w:eastAsia="ＭＳ Ｐゴシック" w:hAnsi="ＭＳ Ｐゴシック" w:hint="eastAsia"/>
        </w:rPr>
        <w:t>ポイント</w:t>
      </w:r>
      <w:r w:rsidR="00D84E5B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5522AA">
        <w:rPr>
          <w:rFonts w:ascii="ＭＳ Ｐゴシック" w:eastAsia="ＭＳ Ｐゴシック" w:hAnsi="ＭＳ Ｐゴシック" w:hint="eastAsia"/>
        </w:rPr>
        <w:t>1.</w:t>
      </w:r>
      <w:r w:rsidR="00F828F7">
        <w:rPr>
          <w:rFonts w:ascii="ＭＳ Ｐゴシック" w:eastAsia="ＭＳ Ｐゴシック" w:hAnsi="ＭＳ Ｐゴシック"/>
        </w:rPr>
        <w:t>9</w:t>
      </w:r>
      <w:r w:rsidR="008E277C">
        <w:rPr>
          <w:rFonts w:ascii="ＭＳ Ｐゴシック" w:eastAsia="ＭＳ Ｐゴシック" w:hAnsi="ＭＳ Ｐゴシック"/>
        </w:rPr>
        <w:t>0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.01</w:t>
      </w:r>
      <w:r w:rsidR="008E277C">
        <w:rPr>
          <w:rFonts w:ascii="ＭＳ Ｐゴシック" w:eastAsia="ＭＳ Ｐゴシック" w:hAnsi="ＭＳ Ｐゴシック" w:hint="eastAsia"/>
        </w:rPr>
        <w:t>ポイント減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1.</w:t>
      </w:r>
      <w:r w:rsidR="00F828F7">
        <w:rPr>
          <w:rFonts w:ascii="ＭＳ Ｐゴシック" w:eastAsia="ＭＳ Ｐゴシック" w:hAnsi="ＭＳ Ｐゴシック"/>
        </w:rPr>
        <w:t>6</w:t>
      </w:r>
      <w:r w:rsidR="008E277C">
        <w:rPr>
          <w:rFonts w:ascii="ＭＳ Ｐゴシック" w:eastAsia="ＭＳ Ｐゴシック" w:hAnsi="ＭＳ Ｐゴシック"/>
        </w:rPr>
        <w:t>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D84E5B">
        <w:rPr>
          <w:rFonts w:ascii="ＭＳ Ｐゴシック" w:eastAsia="ＭＳ Ｐゴシック" w:hAnsi="ＭＳ Ｐゴシック"/>
        </w:rPr>
        <w:t>0</w:t>
      </w:r>
      <w:r w:rsidR="008E277C">
        <w:rPr>
          <w:rFonts w:ascii="ＭＳ Ｐゴシック" w:eastAsia="ＭＳ Ｐゴシック" w:hAnsi="ＭＳ Ｐゴシック"/>
        </w:rPr>
        <w:t>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5455AC">
        <w:rPr>
          <w:rFonts w:ascii="ＭＳ Ｐゴシック" w:eastAsia="ＭＳ Ｐゴシック" w:hAnsi="ＭＳ Ｐゴシック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8E277C">
        <w:rPr>
          <w:rFonts w:ascii="ＭＳ Ｐゴシック" w:eastAsia="ＭＳ Ｐゴシック" w:hAnsi="ＭＳ Ｐゴシック"/>
        </w:rPr>
        <w:t>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5455AC">
        <w:rPr>
          <w:rFonts w:ascii="ＭＳ Ｐゴシック" w:eastAsia="ＭＳ Ｐゴシック" w:hAnsi="ＭＳ Ｐゴシック" w:hint="eastAsia"/>
        </w:rPr>
        <w:t>0</w:t>
      </w:r>
      <w:r w:rsidR="00CD3608">
        <w:rPr>
          <w:rFonts w:ascii="ＭＳ Ｐゴシック" w:eastAsia="ＭＳ Ｐゴシック" w:hAnsi="ＭＳ Ｐゴシック"/>
        </w:rPr>
        <w:t>.</w:t>
      </w:r>
      <w:r w:rsidR="008E277C">
        <w:rPr>
          <w:rFonts w:ascii="ＭＳ Ｐゴシック" w:eastAsia="ＭＳ Ｐゴシック" w:hAnsi="ＭＳ Ｐゴシック"/>
        </w:rPr>
        <w:t>5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5455AC">
        <w:rPr>
          <w:rFonts w:ascii="ＭＳ Ｐゴシック" w:eastAsia="ＭＳ Ｐゴシック" w:hAnsi="ＭＳ Ｐゴシック"/>
        </w:rPr>
        <w:t>4</w:t>
      </w:r>
      <w:r w:rsidR="001D6F9B">
        <w:rPr>
          <w:rFonts w:ascii="ＭＳ Ｐゴシック" w:eastAsia="ＭＳ Ｐゴシック" w:hAnsi="ＭＳ Ｐゴシック"/>
        </w:rPr>
        <w:t>.</w:t>
      </w:r>
      <w:r w:rsidR="008E277C">
        <w:rPr>
          <w:rFonts w:ascii="ＭＳ Ｐゴシック" w:eastAsia="ＭＳ Ｐゴシック" w:hAnsi="ＭＳ Ｐゴシック"/>
        </w:rPr>
        <w:t>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0.1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8E277C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結果はあくまで速報値です。調査票の追加提出等により数値に変動があった場合には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速報から概ね1月後に確報値を公表します。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666484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F37C60" w:rsidRDefault="00B503A3" w:rsidP="00DD2E2D">
      <w:r w:rsidRPr="00B503A3">
        <w:rPr>
          <w:noProof/>
        </w:rPr>
        <w:drawing>
          <wp:inline distT="0" distB="0" distL="0" distR="0">
            <wp:extent cx="6120130" cy="335679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52" w:rsidRDefault="00746D8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746D88">
        <w:rPr>
          <w:noProof/>
        </w:rPr>
        <w:drawing>
          <wp:inline distT="0" distB="0" distL="0" distR="0" wp14:anchorId="2DD4BB9C" wp14:editId="552E2BAF">
            <wp:extent cx="5734050" cy="22574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746D88" w:rsidP="00673FF1">
      <w:pPr>
        <w:jc w:val="center"/>
        <w:rPr>
          <w:rFonts w:ascii="ＭＳ Ｐゴシック" w:eastAsia="ＭＳ Ｐゴシック" w:hAnsi="ＭＳ Ｐゴシック"/>
          <w:sz w:val="21"/>
        </w:rPr>
      </w:pPr>
      <w:r>
        <w:rPr>
          <w:noProof/>
        </w:rPr>
        <w:drawing>
          <wp:inline distT="0" distB="0" distL="0" distR="0" wp14:anchorId="6DD2DDF2" wp14:editId="3F04ED45">
            <wp:extent cx="5724525" cy="278130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F42"/>
    <w:rsid w:val="001053E6"/>
    <w:rsid w:val="0010543A"/>
    <w:rsid w:val="00106204"/>
    <w:rsid w:val="001076E4"/>
    <w:rsid w:val="0011039A"/>
    <w:rsid w:val="00110A49"/>
    <w:rsid w:val="00111141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236B"/>
    <w:rsid w:val="0030295C"/>
    <w:rsid w:val="00305077"/>
    <w:rsid w:val="003110C6"/>
    <w:rsid w:val="0031350A"/>
    <w:rsid w:val="0031480D"/>
    <w:rsid w:val="00323F66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50BFC"/>
    <w:rsid w:val="00450E8C"/>
    <w:rsid w:val="00451C49"/>
    <w:rsid w:val="00455F58"/>
    <w:rsid w:val="0046476B"/>
    <w:rsid w:val="004653F3"/>
    <w:rsid w:val="00466C12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6ACA"/>
    <w:rsid w:val="0086716D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503A3"/>
    <w:rsid w:val="00B5325B"/>
    <w:rsid w:val="00B53D07"/>
    <w:rsid w:val="00B573FF"/>
    <w:rsid w:val="00B64782"/>
    <w:rsid w:val="00B65235"/>
    <w:rsid w:val="00B6637F"/>
    <w:rsid w:val="00B72543"/>
    <w:rsid w:val="00B83DDF"/>
    <w:rsid w:val="00B9158E"/>
    <w:rsid w:val="00B91987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6212"/>
    <w:rsid w:val="00BF6251"/>
    <w:rsid w:val="00BF6E98"/>
    <w:rsid w:val="00C00D37"/>
    <w:rsid w:val="00C02B00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A098D"/>
    <w:rsid w:val="00FA1609"/>
    <w:rsid w:val="00FA22D1"/>
    <w:rsid w:val="00FA688A"/>
    <w:rsid w:val="00FB0D59"/>
    <w:rsid w:val="00FB4934"/>
    <w:rsid w:val="00FB699D"/>
    <w:rsid w:val="00FC0BA8"/>
    <w:rsid w:val="00FC2086"/>
    <w:rsid w:val="00FC3114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LANDISK-TOKEI3\tokei-share\40&#20154;&#21475;&#21172;&#20685;&#32113;&#35336;G\10&#27598;&#26376;&#21220;&#21172;&#32113;&#35336;&#35519;&#26619;\&#31532;&#65297;&#31278;\H28\H28_&#26376;&#22577;&#20316;&#25104;\H28.2&#26376;&#20998;&#12398;&#12383;&#12417;&#12398;&#12501;&#12457;&#12523;&#12480;\5&#20154;&#20197;&#19978;H19.1~H28.2(2&#26376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814579357355742E-2"/>
          <c:y val="0.18623156641502644"/>
          <c:w val="0.64697817267225965"/>
          <c:h val="0.69079524853212526"/>
        </c:manualLayout>
      </c:layout>
      <c:lineChart>
        <c:grouping val="standard"/>
        <c:varyColors val="0"/>
        <c:ser>
          <c:idx val="3"/>
          <c:order val="0"/>
          <c:tx>
            <c:strRef>
              <c:f>'H28.2'!$DD$3</c:f>
              <c:strCache>
                <c:ptCount val="1"/>
                <c:pt idx="0">
                  <c:v>総実労働時間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'H28.2'!$DC$4:$DC$16</c:f>
              <c:strCache>
                <c:ptCount val="13"/>
                <c:pt idx="0">
                  <c:v>27.2</c:v>
                </c:pt>
                <c:pt idx="1">
                  <c:v>27.3</c:v>
                </c:pt>
                <c:pt idx="2">
                  <c:v>27.4</c:v>
                </c:pt>
                <c:pt idx="3">
                  <c:v>27.5</c:v>
                </c:pt>
                <c:pt idx="4">
                  <c:v>27.6</c:v>
                </c:pt>
                <c:pt idx="5">
                  <c:v>27.7</c:v>
                </c:pt>
                <c:pt idx="6">
                  <c:v>27.8</c:v>
                </c:pt>
                <c:pt idx="7">
                  <c:v>27.9</c:v>
                </c:pt>
                <c:pt idx="8">
                  <c:v>27.10</c:v>
                </c:pt>
                <c:pt idx="9">
                  <c:v>27.11</c:v>
                </c:pt>
                <c:pt idx="10">
                  <c:v>27.12</c:v>
                </c:pt>
                <c:pt idx="11">
                  <c:v>28.1</c:v>
                </c:pt>
                <c:pt idx="12">
                  <c:v>28.2</c:v>
                </c:pt>
              </c:strCache>
            </c:strRef>
          </c:cat>
          <c:val>
            <c:numRef>
              <c:f>'H28.2'!$DD$4:$DD$16</c:f>
              <c:numCache>
                <c:formatCode>0.0_ </c:formatCode>
                <c:ptCount val="13"/>
                <c:pt idx="0">
                  <c:v>-0.7</c:v>
                </c:pt>
                <c:pt idx="1">
                  <c:v>0.2</c:v>
                </c:pt>
                <c:pt idx="2">
                  <c:v>-1.5</c:v>
                </c:pt>
                <c:pt idx="3">
                  <c:v>-5.3</c:v>
                </c:pt>
                <c:pt idx="4">
                  <c:v>-0.3</c:v>
                </c:pt>
                <c:pt idx="5">
                  <c:v>0</c:v>
                </c:pt>
                <c:pt idx="6">
                  <c:v>-1.7</c:v>
                </c:pt>
                <c:pt idx="7">
                  <c:v>-1.4</c:v>
                </c:pt>
                <c:pt idx="8">
                  <c:v>-1.5</c:v>
                </c:pt>
                <c:pt idx="9">
                  <c:v>-0.3</c:v>
                </c:pt>
                <c:pt idx="10">
                  <c:v>-0.7</c:v>
                </c:pt>
                <c:pt idx="11">
                  <c:v>-2.2000000000000002</c:v>
                </c:pt>
                <c:pt idx="12">
                  <c:v>-0.7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'H28.2'!$DE$3</c:f>
              <c:strCache>
                <c:ptCount val="1"/>
                <c:pt idx="0">
                  <c:v>所定内労働時間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"/>
            </a:ln>
          </c:spPr>
          <c:marker>
            <c:symbol val="none"/>
          </c:marker>
          <c:cat>
            <c:strRef>
              <c:f>'H28.2'!$DC$4:$DC$16</c:f>
              <c:strCache>
                <c:ptCount val="13"/>
                <c:pt idx="0">
                  <c:v>27.2</c:v>
                </c:pt>
                <c:pt idx="1">
                  <c:v>27.3</c:v>
                </c:pt>
                <c:pt idx="2">
                  <c:v>27.4</c:v>
                </c:pt>
                <c:pt idx="3">
                  <c:v>27.5</c:v>
                </c:pt>
                <c:pt idx="4">
                  <c:v>27.6</c:v>
                </c:pt>
                <c:pt idx="5">
                  <c:v>27.7</c:v>
                </c:pt>
                <c:pt idx="6">
                  <c:v>27.8</c:v>
                </c:pt>
                <c:pt idx="7">
                  <c:v>27.9</c:v>
                </c:pt>
                <c:pt idx="8">
                  <c:v>27.10</c:v>
                </c:pt>
                <c:pt idx="9">
                  <c:v>27.11</c:v>
                </c:pt>
                <c:pt idx="10">
                  <c:v>27.12</c:v>
                </c:pt>
                <c:pt idx="11">
                  <c:v>28.1</c:v>
                </c:pt>
                <c:pt idx="12">
                  <c:v>28.2</c:v>
                </c:pt>
              </c:strCache>
            </c:strRef>
          </c:cat>
          <c:val>
            <c:numRef>
              <c:f>'H28.2'!$DE$4:$DE$16</c:f>
              <c:numCache>
                <c:formatCode>0.0_ </c:formatCode>
                <c:ptCount val="13"/>
                <c:pt idx="0">
                  <c:v>-1.7</c:v>
                </c:pt>
                <c:pt idx="1">
                  <c:v>0.1</c:v>
                </c:pt>
                <c:pt idx="2">
                  <c:v>-2</c:v>
                </c:pt>
                <c:pt idx="3">
                  <c:v>-6.7</c:v>
                </c:pt>
                <c:pt idx="4">
                  <c:v>-1.2</c:v>
                </c:pt>
                <c:pt idx="5">
                  <c:v>-0.8</c:v>
                </c:pt>
                <c:pt idx="6">
                  <c:v>-2.2000000000000002</c:v>
                </c:pt>
                <c:pt idx="7">
                  <c:v>-2.2999999999999998</c:v>
                </c:pt>
                <c:pt idx="8">
                  <c:v>-2.5</c:v>
                </c:pt>
                <c:pt idx="9">
                  <c:v>-1.5</c:v>
                </c:pt>
                <c:pt idx="10">
                  <c:v>-0.9</c:v>
                </c:pt>
                <c:pt idx="11">
                  <c:v>-1.7</c:v>
                </c:pt>
                <c:pt idx="12">
                  <c:v>-0.2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'H28.2'!$DF$3</c:f>
              <c:strCache>
                <c:ptCount val="1"/>
                <c:pt idx="0">
                  <c:v>所定外労働時間</c:v>
                </c:pt>
              </c:strCache>
            </c:strRef>
          </c:tx>
          <c:spPr>
            <a:ln w="12700">
              <a:solidFill>
                <a:schemeClr val="tx1"/>
              </a:solidFill>
              <a:prstDash val="solid"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strRef>
              <c:f>'H28.2'!$DC$4:$DC$16</c:f>
              <c:strCache>
                <c:ptCount val="13"/>
                <c:pt idx="0">
                  <c:v>27.2</c:v>
                </c:pt>
                <c:pt idx="1">
                  <c:v>27.3</c:v>
                </c:pt>
                <c:pt idx="2">
                  <c:v>27.4</c:v>
                </c:pt>
                <c:pt idx="3">
                  <c:v>27.5</c:v>
                </c:pt>
                <c:pt idx="4">
                  <c:v>27.6</c:v>
                </c:pt>
                <c:pt idx="5">
                  <c:v>27.7</c:v>
                </c:pt>
                <c:pt idx="6">
                  <c:v>27.8</c:v>
                </c:pt>
                <c:pt idx="7">
                  <c:v>27.9</c:v>
                </c:pt>
                <c:pt idx="8">
                  <c:v>27.10</c:v>
                </c:pt>
                <c:pt idx="9">
                  <c:v>27.11</c:v>
                </c:pt>
                <c:pt idx="10">
                  <c:v>27.12</c:v>
                </c:pt>
                <c:pt idx="11">
                  <c:v>28.1</c:v>
                </c:pt>
                <c:pt idx="12">
                  <c:v>28.2</c:v>
                </c:pt>
              </c:strCache>
            </c:strRef>
          </c:cat>
          <c:val>
            <c:numRef>
              <c:f>'H28.2'!$DF$4:$DF$16</c:f>
              <c:numCache>
                <c:formatCode>0.0_ </c:formatCode>
                <c:ptCount val="13"/>
                <c:pt idx="0">
                  <c:v>13.2</c:v>
                </c:pt>
                <c:pt idx="1">
                  <c:v>1.5</c:v>
                </c:pt>
                <c:pt idx="2">
                  <c:v>5.5</c:v>
                </c:pt>
                <c:pt idx="3">
                  <c:v>14.5</c:v>
                </c:pt>
                <c:pt idx="4">
                  <c:v>16</c:v>
                </c:pt>
                <c:pt idx="5">
                  <c:v>14.9</c:v>
                </c:pt>
                <c:pt idx="6">
                  <c:v>7</c:v>
                </c:pt>
                <c:pt idx="7">
                  <c:v>12.5</c:v>
                </c:pt>
                <c:pt idx="8">
                  <c:v>16.899999999999999</c:v>
                </c:pt>
                <c:pt idx="9">
                  <c:v>19.399999999999999</c:v>
                </c:pt>
                <c:pt idx="10">
                  <c:v>2.9</c:v>
                </c:pt>
                <c:pt idx="11">
                  <c:v>-7.9</c:v>
                </c:pt>
                <c:pt idx="12">
                  <c:v>-7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384960"/>
        <c:axId val="92437856"/>
      </c:lineChart>
      <c:catAx>
        <c:axId val="1393849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92437856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92437856"/>
        <c:scaling>
          <c:orientation val="minMax"/>
          <c:min val="-30"/>
        </c:scaling>
        <c:delete val="0"/>
        <c:axPos val="l"/>
        <c:majorGridlines>
          <c:spPr>
            <a:ln w="9525">
              <a:solidFill>
                <a:srgbClr val="000000"/>
              </a:solidFill>
              <a:prstDash val="sysDash"/>
            </a:ln>
          </c:spPr>
        </c:majorGridlines>
        <c:numFmt formatCode="0.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9384960"/>
        <c:crosses val="autoZero"/>
        <c:crossBetween val="midCat"/>
        <c:majorUnit val="1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03058544238235"/>
          <c:y val="0.24727272727272728"/>
          <c:w val="0.21131464755570759"/>
          <c:h val="0.20363636363636364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明朝"/>
          <a:ea typeface="ＭＳ Ｐ明朝"/>
          <a:cs typeface="ＭＳ Ｐ明朝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0.19452</cdr:x>
      <cdr:y>0.01799</cdr:y>
    </cdr:from>
    <cdr:to>
      <cdr:x>0.61733</cdr:x>
      <cdr:y>0.16151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066799" y="49852"/>
          <a:ext cx="2571751" cy="3978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 b="1"/>
            <a:t>労働時間指数の対前年同月比の動き</a:t>
          </a:r>
          <a:endParaRPr lang="en-US" altLang="ja-JP" sz="1100" b="1"/>
        </a:p>
        <a:p xmlns:a="http://schemas.openxmlformats.org/drawingml/2006/main">
          <a:pPr algn="ctr"/>
          <a:r>
            <a:rPr lang="ja-JP" altLang="en-US" sz="1100" b="1"/>
            <a:t>－調査産業計、事業所規模５人以上－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6B29-CB20-45B7-AD7D-7B9EC7C1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964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16</cp:revision>
  <cp:lastPrinted>2016-04-22T00:29:00Z</cp:lastPrinted>
  <dcterms:created xsi:type="dcterms:W3CDTF">2016-04-18T05:09:00Z</dcterms:created>
  <dcterms:modified xsi:type="dcterms:W3CDTF">2016-04-25T23:27:00Z</dcterms:modified>
</cp:coreProperties>
</file>