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pStyle w:val="Heading1"/>
        <w:tabs>
          <w:tab w:pos="4468" w:val="left" w:leader="none"/>
        </w:tabs>
        <w:spacing w:line="271" w:lineRule="auto"/>
        <w:ind w:right="1251"/>
      </w:pPr>
      <w:r>
        <w:rPr>
          <w:spacing w:val="18"/>
        </w:rPr>
        <w:t>毎</w:t>
      </w:r>
      <w:r>
        <w:rPr>
          <w:spacing w:val="23"/>
        </w:rPr>
        <w:t>月</w:t>
      </w:r>
      <w:r>
        <w:rPr>
          <w:spacing w:val="18"/>
        </w:rPr>
        <w:t>勤</w:t>
      </w:r>
      <w:r>
        <w:rPr>
          <w:spacing w:val="23"/>
        </w:rPr>
        <w:t>労統</w:t>
      </w:r>
      <w:r>
        <w:rPr>
          <w:spacing w:val="18"/>
        </w:rPr>
        <w:t>計</w:t>
      </w:r>
      <w:r>
        <w:rPr>
          <w:spacing w:val="23"/>
        </w:rPr>
        <w:t>調査</w:t>
      </w:r>
      <w:r>
        <w:rPr>
          <w:spacing w:val="18"/>
        </w:rPr>
        <w:t>地</w:t>
      </w:r>
      <w:r>
        <w:rPr>
          <w:spacing w:val="23"/>
        </w:rPr>
        <w:t>方</w:t>
      </w:r>
      <w:r>
        <w:rPr>
          <w:spacing w:val="18"/>
        </w:rPr>
        <w:t>調</w:t>
      </w:r>
      <w:r>
        <w:rPr>
          <w:spacing w:val="23"/>
        </w:rPr>
        <w:t>査</w:t>
      </w:r>
      <w:r>
        <w:rPr>
          <w:spacing w:val="18"/>
        </w:rPr>
        <w:t>結</w:t>
      </w:r>
      <w:r>
        <w:rPr>
          <w:spacing w:val="23"/>
        </w:rPr>
        <w:t>果速</w:t>
      </w:r>
      <w:r>
        <w:rPr/>
        <w:t>報</w:t>
      </w:r>
      <w:r>
        <w:rPr>
          <w:spacing w:val="19"/>
          <w:w w:val="95"/>
        </w:rPr>
        <w:t>平成</w:t>
      </w:r>
      <w:r>
        <w:rPr>
          <w:spacing w:val="12"/>
          <w:w w:val="95"/>
        </w:rPr>
        <w:t>２９</w:t>
      </w:r>
      <w:r>
        <w:rPr>
          <w:spacing w:val="23"/>
          <w:w w:val="95"/>
        </w:rPr>
        <w:t>年</w:t>
      </w:r>
      <w:r>
        <w:rPr>
          <w:spacing w:val="18"/>
          <w:w w:val="95"/>
        </w:rPr>
        <w:t>平</w:t>
      </w:r>
      <w:r>
        <w:rPr>
          <w:w w:val="95"/>
        </w:rPr>
        <w:t>均</w:t>
        <w:tab/>
      </w:r>
      <w:r>
        <w:rPr>
          <w:spacing w:val="24"/>
        </w:rPr>
        <w:t>青森県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1"/>
        <w:rPr>
          <w:sz w:val="60"/>
        </w:rPr>
      </w:pPr>
    </w:p>
    <w:p>
      <w:pPr>
        <w:spacing w:before="0"/>
        <w:ind w:left="1222" w:right="1244" w:firstLine="0"/>
        <w:jc w:val="center"/>
        <w:rPr>
          <w:sz w:val="40"/>
        </w:rPr>
      </w:pPr>
      <w:r>
        <w:rPr>
          <w:w w:val="95"/>
          <w:sz w:val="40"/>
        </w:rPr>
        <w:t>平成３０年３月</w:t>
      </w:r>
    </w:p>
    <w:p>
      <w:pPr>
        <w:spacing w:before="107"/>
        <w:ind w:left="1222" w:right="1249" w:firstLine="0"/>
        <w:jc w:val="center"/>
        <w:rPr>
          <w:sz w:val="44"/>
        </w:rPr>
      </w:pPr>
      <w:r>
        <w:rPr>
          <w:sz w:val="44"/>
        </w:rPr>
        <w:t>青森県企画政策部統計分析課</w:t>
      </w:r>
    </w:p>
    <w:p>
      <w:pPr>
        <w:spacing w:after="0"/>
        <w:jc w:val="center"/>
        <w:rPr>
          <w:sz w:val="44"/>
        </w:rPr>
        <w:sectPr>
          <w:type w:val="continuous"/>
          <w:pgSz w:w="11910" w:h="16840"/>
          <w:pgMar w:top="1580" w:bottom="280" w:left="1020" w:right="1020"/>
        </w:sectPr>
      </w:pPr>
    </w:p>
    <w:p>
      <w:pPr>
        <w:spacing w:line="531" w:lineRule="exact" w:before="0"/>
        <w:ind w:left="2317" w:right="0" w:firstLine="0"/>
        <w:jc w:val="left"/>
        <w:rPr>
          <w:sz w:val="40"/>
        </w:rPr>
      </w:pPr>
      <w:r>
        <w:rPr>
          <w:sz w:val="40"/>
        </w:rPr>
        <w:t>平成２９年平均調査結果概要</w:t>
      </w:r>
    </w:p>
    <w:p>
      <w:pPr>
        <w:pStyle w:val="BodyText"/>
        <w:spacing w:before="2"/>
        <w:rPr>
          <w:sz w:val="57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spacing w:val="3"/>
          <w:w w:val="90"/>
        </w:rPr>
        <w:t>１．</w:t>
        <w:tab/>
      </w:r>
      <w:r>
        <w:rPr>
          <w:spacing w:val="14"/>
          <w:w w:val="95"/>
        </w:rPr>
        <w:t>給与の動き</w:t>
      </w:r>
    </w:p>
    <w:p>
      <w:pPr>
        <w:pStyle w:val="BodyText"/>
        <w:spacing w:line="268" w:lineRule="auto" w:before="41"/>
        <w:ind w:left="641" w:right="106" w:firstLine="245"/>
      </w:pPr>
      <w:r>
        <w:rPr/>
        <w:t>一人平均月間現金給与総額は</w:t>
      </w:r>
      <w:r>
        <w:rPr>
          <w:w w:val="90"/>
        </w:rPr>
        <w:t>、</w:t>
      </w:r>
      <w:r>
        <w:rPr/>
        <w:t>規模 5 人以上で 262,558 円</w:t>
      </w:r>
      <w:r>
        <w:rPr>
          <w:w w:val="90"/>
        </w:rPr>
        <w:t>、</w:t>
      </w:r>
      <w:r>
        <w:rPr/>
        <w:t>前年比 4.2％増</w:t>
      </w:r>
      <w:r>
        <w:rPr>
          <w:w w:val="90"/>
        </w:rPr>
        <w:t>（</w:t>
      </w:r>
      <w:r>
        <w:rPr/>
        <w:t>規模 30 人以上 281,212 円</w:t>
      </w:r>
      <w:r>
        <w:rPr>
          <w:w w:val="90"/>
        </w:rPr>
        <w:t>、</w:t>
      </w:r>
      <w:r>
        <w:rPr/>
        <w:t>前年比 0.1％増</w:t>
      </w:r>
      <w:r>
        <w:rPr>
          <w:w w:val="90"/>
        </w:rPr>
        <w:t>）</w:t>
      </w:r>
      <w:r>
        <w:rPr/>
        <w:t>となった</w:t>
      </w:r>
      <w:r>
        <w:rPr>
          <w:w w:val="90"/>
        </w:rPr>
        <w:t>。</w:t>
      </w:r>
    </w:p>
    <w:p>
      <w:pPr>
        <w:pStyle w:val="BodyText"/>
        <w:spacing w:before="7"/>
        <w:ind w:left="852"/>
      </w:pPr>
      <w:r>
        <w:rPr>
          <w:w w:val="95"/>
        </w:rPr>
        <w:t>このうち、きまって支給する給与は、規模 5 人以上で 223,533 円、前年比 3.3％増</w:t>
      </w:r>
      <w:r>
        <w:rPr>
          <w:w w:val="90"/>
        </w:rPr>
        <w:t>（</w:t>
      </w:r>
      <w:r>
        <w:rPr>
          <w:w w:val="95"/>
        </w:rPr>
        <w:t>規模</w:t>
      </w:r>
    </w:p>
    <w:p>
      <w:pPr>
        <w:pStyle w:val="BodyText"/>
        <w:spacing w:before="37"/>
        <w:ind w:left="607"/>
      </w:pPr>
      <w:r>
        <w:rPr/>
        <w:t>30 人以上 237,533 円、前年比 0.2％増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before="41"/>
        <w:ind w:left="886"/>
      </w:pPr>
      <w:r>
        <w:rPr/>
        <w:t>また、特別に支払われた給与は、規模 5 人以上で 39,025 円、前年差 3,266 円増</w:t>
      </w:r>
      <w:r>
        <w:rPr>
          <w:w w:val="90"/>
        </w:rPr>
        <w:t>（</w:t>
      </w:r>
      <w:r>
        <w:rPr/>
        <w:t>規模</w:t>
      </w:r>
    </w:p>
    <w:p>
      <w:pPr>
        <w:pStyle w:val="BodyText"/>
        <w:spacing w:before="37"/>
        <w:ind w:left="641"/>
      </w:pPr>
      <w:r>
        <w:rPr/>
        <w:t>30 人以上 43,679 円、前年差 939 円減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833" w:val="left" w:leader="none"/>
        </w:tabs>
        <w:spacing w:before="1"/>
        <w:ind w:left="113"/>
      </w:pPr>
      <w:r>
        <w:rPr>
          <w:spacing w:val="3"/>
          <w:w w:val="90"/>
        </w:rPr>
        <w:t>２．</w:t>
        <w:tab/>
      </w:r>
      <w:r>
        <w:rPr>
          <w:spacing w:val="15"/>
          <w:w w:val="95"/>
        </w:rPr>
        <w:t>労働時間の動き</w:t>
      </w:r>
    </w:p>
    <w:p>
      <w:pPr>
        <w:pStyle w:val="BodyText"/>
        <w:spacing w:line="273" w:lineRule="auto" w:before="37"/>
        <w:ind w:left="641" w:right="106" w:firstLine="245"/>
      </w:pPr>
      <w:r>
        <w:rPr/>
        <w:t>一人平均月間総実労働時間は、規模 5 人以上で 155.5 時間、前年比 1.9％増</w:t>
      </w:r>
      <w:r>
        <w:rPr>
          <w:w w:val="90"/>
        </w:rPr>
        <w:t>（</w:t>
      </w:r>
      <w:r>
        <w:rPr/>
        <w:t>規模 30 人以上 159.6 時間、前年比 1.7％増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line="273" w:lineRule="auto"/>
        <w:ind w:left="641" w:right="130" w:firstLine="245"/>
      </w:pPr>
      <w:r>
        <w:rPr>
          <w:w w:val="95"/>
        </w:rPr>
        <w:t>このうち、所定内労働時間は、規模 5 人以上で 143.3 時間、前年比 1.1％増</w:t>
      </w:r>
      <w:r>
        <w:rPr>
          <w:w w:val="90"/>
        </w:rPr>
        <w:t>（</w:t>
      </w:r>
      <w:r>
        <w:rPr>
          <w:w w:val="95"/>
        </w:rPr>
        <w:t>規模 30 人</w:t>
      </w:r>
      <w:r>
        <w:rPr/>
        <w:t>以上 143.6 時間、前年比 0.8％増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line="268" w:lineRule="auto"/>
        <w:ind w:left="641" w:right="107" w:firstLine="245"/>
      </w:pPr>
      <w:r>
        <w:rPr/>
        <w:t>また、所定外労働時間は、規模 5 人以上で 12.2 時間、前年比 12.3％増</w:t>
      </w:r>
      <w:r>
        <w:rPr>
          <w:w w:val="90"/>
        </w:rPr>
        <w:t>（</w:t>
      </w:r>
      <w:r>
        <w:rPr/>
        <w:t>規模 30 人以上 16.0 時間、前年比 10.1％増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833" w:val="left" w:leader="none"/>
        </w:tabs>
        <w:spacing w:before="1"/>
        <w:ind w:left="113"/>
      </w:pPr>
      <w:r>
        <w:rPr>
          <w:spacing w:val="3"/>
          <w:w w:val="90"/>
        </w:rPr>
        <w:t>３．</w:t>
        <w:tab/>
      </w:r>
      <w:r>
        <w:rPr>
          <w:spacing w:val="14"/>
          <w:w w:val="95"/>
        </w:rPr>
        <w:t>雇用の動き</w:t>
      </w:r>
    </w:p>
    <w:p>
      <w:pPr>
        <w:pStyle w:val="BodyText"/>
        <w:spacing w:before="41"/>
        <w:ind w:left="886"/>
      </w:pPr>
      <w:r>
        <w:rPr>
          <w:w w:val="95"/>
        </w:rPr>
        <w:t>月間平均入職率は、規模 5 人以上で 1.79％、前年差 0.18 ポイント減</w:t>
      </w:r>
      <w:r>
        <w:rPr>
          <w:w w:val="90"/>
        </w:rPr>
        <w:t>（</w:t>
      </w:r>
      <w:r>
        <w:rPr>
          <w:w w:val="95"/>
        </w:rPr>
        <w:t>規模 30 人以上</w:t>
      </w:r>
    </w:p>
    <w:p>
      <w:pPr>
        <w:pStyle w:val="BodyText"/>
        <w:spacing w:line="273" w:lineRule="auto" w:before="37"/>
        <w:ind w:left="641" w:right="125"/>
      </w:pPr>
      <w:r>
        <w:rPr>
          <w:w w:val="90"/>
        </w:rPr>
        <w:t>1.71％、前年差 0.15 ポイント減）、月間平均離職率は、規模 5 人以上で 1.71％、前年差 0.16 ポイント減（規模 30 人以上 1.79％、前年差 0.08 ポイント減）となった。</w:t>
      </w:r>
    </w:p>
    <w:p>
      <w:pPr>
        <w:pStyle w:val="BodyText"/>
        <w:spacing w:line="268" w:lineRule="auto"/>
        <w:ind w:left="641" w:right="113" w:firstLine="245"/>
      </w:pPr>
      <w:r>
        <w:rPr>
          <w:w w:val="95"/>
        </w:rPr>
        <w:t>また、月間平均常用労働者中のパートタイム労働者の比率は、規模 5 人以上で 26.4％、前年差 0.5 ポイント減</w:t>
      </w:r>
      <w:r>
        <w:rPr>
          <w:w w:val="90"/>
        </w:rPr>
        <w:t>（</w:t>
      </w:r>
      <w:r>
        <w:rPr>
          <w:w w:val="95"/>
        </w:rPr>
        <w:t>規模 30 人以上 25.4％、前年差 0.5 ポイント増</w:t>
      </w:r>
      <w:r>
        <w:rPr>
          <w:w w:val="90"/>
        </w:rPr>
        <w:t>）</w:t>
      </w:r>
      <w:r>
        <w:rPr>
          <w:w w:val="95"/>
        </w:rPr>
        <w:t>となった。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56.664001pt;margin-top:20.362143pt;width:469.15pt;height:2.2pt;mso-position-horizontal-relative:page;mso-position-vertical-relative:paragraph;z-index:-1024;mso-wrap-distance-left:0;mso-wrap-distance-right:0" coordorigin="1133,407" coordsize="9383,44">
            <v:line style="position:absolute" from="1133,414" to="10516,414" stroked="true" strokeweight=".72003pt" strokecolor="#000000">
              <v:stroke dashstyle="solid"/>
            </v:line>
            <v:line style="position:absolute" from="1133,443" to="10516,443" stroked="true" strokeweight=".72003pt" strokecolor="#000000">
              <v:stroke dashstyle="solid"/>
            </v:line>
            <w10:wrap type="topAndBottom"/>
          </v:group>
        </w:pict>
      </w:r>
    </w:p>
    <w:p>
      <w:pPr>
        <w:spacing w:before="1"/>
        <w:ind w:left="113" w:right="0" w:firstLine="0"/>
        <w:jc w:val="left"/>
        <w:rPr>
          <w:sz w:val="20"/>
        </w:rPr>
      </w:pPr>
      <w:r>
        <w:rPr>
          <w:w w:val="80"/>
          <w:sz w:val="20"/>
        </w:rPr>
        <w:t>〈</w:t>
      </w:r>
      <w:r>
        <w:rPr>
          <w:sz w:val="20"/>
        </w:rPr>
        <w:t>利用上の注意</w:t>
      </w:r>
      <w:r>
        <w:rPr>
          <w:w w:val="80"/>
          <w:sz w:val="20"/>
        </w:rPr>
        <w:t>〉</w:t>
      </w:r>
    </w:p>
    <w:p>
      <w:pPr>
        <w:spacing w:before="63"/>
        <w:ind w:left="113" w:right="0" w:firstLine="0"/>
        <w:jc w:val="left"/>
        <w:rPr>
          <w:sz w:val="20"/>
        </w:rPr>
      </w:pPr>
      <w:r>
        <w:rPr>
          <w:w w:val="85"/>
          <w:sz w:val="20"/>
        </w:rPr>
        <w:t>（１） </w:t>
      </w:r>
      <w:r>
        <w:rPr>
          <w:sz w:val="20"/>
        </w:rPr>
        <w:t>産業分類については、日本標準産業分類</w:t>
      </w:r>
      <w:r>
        <w:rPr>
          <w:w w:val="85"/>
          <w:sz w:val="20"/>
        </w:rPr>
        <w:t>（</w:t>
      </w:r>
      <w:r>
        <w:rPr>
          <w:sz w:val="20"/>
        </w:rPr>
        <w:t>平成 25 年 10 月改定）に基づき表章している。</w:t>
      </w:r>
    </w:p>
    <w:p>
      <w:pPr>
        <w:spacing w:before="68"/>
        <w:ind w:left="113" w:right="0" w:firstLine="0"/>
        <w:jc w:val="left"/>
        <w:rPr>
          <w:sz w:val="20"/>
        </w:rPr>
      </w:pPr>
      <w:r>
        <w:rPr>
          <w:w w:val="85"/>
          <w:sz w:val="20"/>
        </w:rPr>
        <w:t>（２） 「</w:t>
      </w:r>
      <w:r>
        <w:rPr>
          <w:w w:val="95"/>
          <w:sz w:val="20"/>
        </w:rPr>
        <w:t>前年比</w:t>
      </w:r>
      <w:r>
        <w:rPr>
          <w:w w:val="85"/>
          <w:sz w:val="20"/>
        </w:rPr>
        <w:t>」</w:t>
      </w:r>
      <w:r>
        <w:rPr>
          <w:w w:val="95"/>
          <w:sz w:val="20"/>
        </w:rPr>
        <w:t>は対前年比</w:t>
      </w:r>
      <w:r>
        <w:rPr>
          <w:w w:val="85"/>
          <w:sz w:val="20"/>
        </w:rPr>
        <w:t>（％）を</w:t>
      </w:r>
      <w:r>
        <w:rPr>
          <w:w w:val="95"/>
          <w:sz w:val="20"/>
        </w:rPr>
        <w:t>掲載</w:t>
      </w:r>
      <w:r>
        <w:rPr>
          <w:w w:val="85"/>
          <w:sz w:val="20"/>
        </w:rPr>
        <w:t>して</w:t>
      </w:r>
      <w:r>
        <w:rPr>
          <w:w w:val="95"/>
          <w:sz w:val="20"/>
        </w:rPr>
        <w:t>お</w:t>
      </w:r>
      <w:r>
        <w:rPr>
          <w:w w:val="85"/>
          <w:sz w:val="20"/>
        </w:rPr>
        <w:t>り、「</w:t>
      </w:r>
      <w:r>
        <w:rPr>
          <w:w w:val="95"/>
          <w:sz w:val="20"/>
        </w:rPr>
        <w:t>前年差</w:t>
      </w:r>
      <w:r>
        <w:rPr>
          <w:w w:val="85"/>
          <w:sz w:val="20"/>
        </w:rPr>
        <w:t>」</w:t>
      </w:r>
      <w:r>
        <w:rPr>
          <w:w w:val="95"/>
          <w:sz w:val="20"/>
        </w:rPr>
        <w:t>は前年</w:t>
      </w:r>
      <w:r>
        <w:rPr>
          <w:w w:val="85"/>
          <w:sz w:val="20"/>
        </w:rPr>
        <w:t>と</w:t>
      </w:r>
      <w:r>
        <w:rPr>
          <w:w w:val="95"/>
          <w:sz w:val="20"/>
        </w:rPr>
        <w:t>の差</w:t>
      </w:r>
      <w:r>
        <w:rPr>
          <w:w w:val="85"/>
          <w:sz w:val="20"/>
        </w:rPr>
        <w:t>（</w:t>
      </w:r>
      <w:r>
        <w:rPr>
          <w:w w:val="95"/>
          <w:sz w:val="20"/>
        </w:rPr>
        <w:t>ポ</w:t>
      </w:r>
      <w:r>
        <w:rPr>
          <w:w w:val="85"/>
          <w:sz w:val="20"/>
        </w:rPr>
        <w:t>イント）を</w:t>
      </w:r>
      <w:r>
        <w:rPr>
          <w:w w:val="95"/>
          <w:sz w:val="20"/>
        </w:rPr>
        <w:t>掲載</w:t>
      </w:r>
      <w:r>
        <w:rPr>
          <w:w w:val="85"/>
          <w:sz w:val="20"/>
        </w:rPr>
        <w:t>して</w:t>
      </w:r>
      <w:r>
        <w:rPr>
          <w:w w:val="95"/>
          <w:sz w:val="20"/>
        </w:rPr>
        <w:t>い</w:t>
      </w:r>
      <w:r>
        <w:rPr>
          <w:w w:val="85"/>
          <w:sz w:val="20"/>
        </w:rPr>
        <w:t>る。</w:t>
      </w:r>
    </w:p>
    <w:p>
      <w:pPr>
        <w:spacing w:line="297" w:lineRule="auto" w:before="68"/>
        <w:ind w:left="449" w:right="121" w:hanging="336"/>
        <w:jc w:val="left"/>
        <w:rPr>
          <w:sz w:val="20"/>
        </w:rPr>
      </w:pPr>
      <w:r>
        <w:rPr>
          <w:w w:val="85"/>
          <w:sz w:val="20"/>
        </w:rPr>
        <w:t>（３） </w:t>
      </w:r>
      <w:r>
        <w:rPr>
          <w:w w:val="95"/>
          <w:sz w:val="20"/>
        </w:rPr>
        <w:t>調査対象事業所数が少ない産業については</w:t>
      </w:r>
      <w:r>
        <w:rPr>
          <w:w w:val="85"/>
          <w:sz w:val="20"/>
        </w:rPr>
        <w:t>、</w:t>
      </w:r>
      <w:r>
        <w:rPr>
          <w:w w:val="95"/>
          <w:sz w:val="20"/>
        </w:rPr>
        <w:t>産業別に表章</w:t>
      </w:r>
      <w:r>
        <w:rPr>
          <w:w w:val="85"/>
          <w:sz w:val="20"/>
        </w:rPr>
        <w:t>し</w:t>
      </w:r>
      <w:r>
        <w:rPr>
          <w:w w:val="95"/>
          <w:sz w:val="20"/>
        </w:rPr>
        <w:t>ていないが</w:t>
      </w:r>
      <w:r>
        <w:rPr>
          <w:w w:val="85"/>
          <w:sz w:val="20"/>
        </w:rPr>
        <w:t>、</w:t>
      </w:r>
      <w:r>
        <w:rPr>
          <w:w w:val="95"/>
          <w:sz w:val="20"/>
        </w:rPr>
        <w:t>調査産業計には</w:t>
      </w:r>
      <w:r>
        <w:rPr>
          <w:w w:val="85"/>
          <w:sz w:val="20"/>
        </w:rPr>
        <w:t>こ</w:t>
      </w:r>
      <w:r>
        <w:rPr>
          <w:w w:val="95"/>
          <w:sz w:val="20"/>
        </w:rPr>
        <w:t>れ</w:t>
      </w:r>
      <w:r>
        <w:rPr>
          <w:w w:val="85"/>
          <w:sz w:val="20"/>
        </w:rPr>
        <w:t>らを</w:t>
      </w:r>
      <w:r>
        <w:rPr>
          <w:sz w:val="20"/>
        </w:rPr>
        <w:t>含めて算定</w:t>
      </w:r>
      <w:r>
        <w:rPr>
          <w:w w:val="85"/>
          <w:sz w:val="20"/>
        </w:rPr>
        <w:t>し</w:t>
      </w:r>
      <w:r>
        <w:rPr>
          <w:sz w:val="20"/>
        </w:rPr>
        <w:t>てい</w:t>
      </w:r>
      <w:r>
        <w:rPr>
          <w:w w:val="85"/>
          <w:sz w:val="20"/>
        </w:rPr>
        <w:t>る。</w:t>
      </w:r>
    </w:p>
    <w:p>
      <w:pPr>
        <w:spacing w:line="297" w:lineRule="auto" w:before="3"/>
        <w:ind w:left="449" w:right="122" w:hanging="336"/>
        <w:jc w:val="left"/>
        <w:rPr>
          <w:sz w:val="20"/>
        </w:rPr>
      </w:pPr>
      <w:r>
        <w:rPr>
          <w:w w:val="85"/>
          <w:sz w:val="20"/>
        </w:rPr>
        <w:t>（４） </w:t>
      </w:r>
      <w:r>
        <w:rPr>
          <w:w w:val="95"/>
          <w:sz w:val="20"/>
        </w:rPr>
        <w:t>各産業などの調査結果については</w:t>
      </w:r>
      <w:r>
        <w:rPr>
          <w:w w:val="85"/>
          <w:sz w:val="20"/>
        </w:rPr>
        <w:t>、</w:t>
      </w:r>
      <w:r>
        <w:rPr>
          <w:w w:val="95"/>
          <w:sz w:val="20"/>
        </w:rPr>
        <w:t>標本規模が小</w:t>
      </w:r>
      <w:r>
        <w:rPr>
          <w:w w:val="85"/>
          <w:sz w:val="20"/>
        </w:rPr>
        <w:t>さ</w:t>
      </w:r>
      <w:r>
        <w:rPr>
          <w:w w:val="95"/>
          <w:sz w:val="20"/>
        </w:rPr>
        <w:t>い</w:t>
      </w:r>
      <w:r>
        <w:rPr>
          <w:w w:val="85"/>
          <w:sz w:val="20"/>
        </w:rPr>
        <w:t>こと</w:t>
      </w:r>
      <w:r>
        <w:rPr>
          <w:w w:val="95"/>
          <w:sz w:val="20"/>
        </w:rPr>
        <w:t>などに</w:t>
      </w:r>
      <w:r>
        <w:rPr>
          <w:w w:val="85"/>
          <w:sz w:val="20"/>
        </w:rPr>
        <w:t>より、</w:t>
      </w:r>
      <w:r>
        <w:rPr>
          <w:w w:val="95"/>
          <w:sz w:val="20"/>
        </w:rPr>
        <w:t>全国結果に比べ結果精度が</w:t>
      </w:r>
      <w:r>
        <w:rPr>
          <w:sz w:val="20"/>
        </w:rPr>
        <w:t>十分に確保で</w:t>
      </w:r>
      <w:r>
        <w:rPr>
          <w:w w:val="85"/>
          <w:sz w:val="20"/>
        </w:rPr>
        <w:t>き</w:t>
      </w:r>
      <w:r>
        <w:rPr>
          <w:sz w:val="20"/>
        </w:rPr>
        <w:t>ない</w:t>
      </w:r>
      <w:r>
        <w:rPr>
          <w:w w:val="85"/>
          <w:sz w:val="20"/>
        </w:rPr>
        <w:t>と</w:t>
      </w:r>
      <w:r>
        <w:rPr>
          <w:sz w:val="20"/>
        </w:rPr>
        <w:t>み</w:t>
      </w:r>
      <w:r>
        <w:rPr>
          <w:w w:val="85"/>
          <w:sz w:val="20"/>
        </w:rPr>
        <w:t>ら</w:t>
      </w:r>
      <w:r>
        <w:rPr>
          <w:sz w:val="20"/>
        </w:rPr>
        <w:t>れ</w:t>
      </w:r>
      <w:r>
        <w:rPr>
          <w:w w:val="85"/>
          <w:sz w:val="20"/>
        </w:rPr>
        <w:t>ること</w:t>
      </w:r>
      <w:r>
        <w:rPr>
          <w:sz w:val="20"/>
        </w:rPr>
        <w:t>か</w:t>
      </w:r>
      <w:r>
        <w:rPr>
          <w:w w:val="85"/>
          <w:sz w:val="20"/>
        </w:rPr>
        <w:t>ら、</w:t>
      </w:r>
      <w:r>
        <w:rPr>
          <w:sz w:val="20"/>
        </w:rPr>
        <w:t>結果の利用に当た</w:t>
      </w:r>
      <w:r>
        <w:rPr>
          <w:w w:val="85"/>
          <w:sz w:val="20"/>
        </w:rPr>
        <w:t>っ</w:t>
      </w:r>
      <w:r>
        <w:rPr>
          <w:sz w:val="20"/>
        </w:rPr>
        <w:t>ては注意</w:t>
      </w:r>
      <w:r>
        <w:rPr>
          <w:w w:val="85"/>
          <w:sz w:val="20"/>
        </w:rPr>
        <w:t>を</w:t>
      </w:r>
      <w:r>
        <w:rPr>
          <w:sz w:val="20"/>
        </w:rPr>
        <w:t>要す</w:t>
      </w:r>
      <w:r>
        <w:rPr>
          <w:w w:val="85"/>
          <w:sz w:val="20"/>
        </w:rPr>
        <w:t>る。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56.664001pt;margin-top:12.534472pt;width:476.85pt;height:1.7pt;mso-position-horizontal-relative:page;mso-position-vertical-relative:paragraph;z-index:-1000;mso-wrap-distance-left:0;mso-wrap-distance-right:0" coordorigin="1133,251" coordsize="9537,34">
            <v:line style="position:absolute" from="1133,255" to="10670,255" stroked="true" strokeweight=".47998pt" strokecolor="#000000">
              <v:stroke dashstyle="solid"/>
            </v:line>
            <v:line style="position:absolute" from="1133,279" to="10670,279" stroked="true" strokeweight=".47998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5"/>
        </w:rPr>
        <w:sectPr>
          <w:footerReference w:type="default" r:id="rId5"/>
          <w:pgSz w:w="11910" w:h="16840"/>
          <w:pgMar w:footer="618" w:header="0" w:top="1340" w:bottom="800" w:left="1020" w:right="1020"/>
          <w:pgNumType w:start="1"/>
        </w:sectPr>
      </w:pPr>
    </w:p>
    <w:p>
      <w:pPr>
        <w:spacing w:before="28"/>
        <w:ind w:left="113" w:right="0" w:firstLine="0"/>
        <w:jc w:val="left"/>
        <w:rPr>
          <w:sz w:val="21"/>
        </w:rPr>
      </w:pPr>
      <w:r>
        <w:rPr>
          <w:w w:val="90"/>
          <w:sz w:val="21"/>
        </w:rPr>
        <w:t>【</w:t>
      </w:r>
      <w:r>
        <w:rPr>
          <w:w w:val="95"/>
          <w:sz w:val="21"/>
        </w:rPr>
        <w:t>参考図表</w:t>
      </w:r>
      <w:r>
        <w:rPr>
          <w:w w:val="90"/>
          <w:sz w:val="21"/>
        </w:rPr>
        <w:t>】（</w:t>
      </w:r>
      <w:r>
        <w:rPr>
          <w:w w:val="95"/>
          <w:sz w:val="21"/>
        </w:rPr>
        <w:t>指数</w:t>
      </w:r>
      <w:r>
        <w:rPr>
          <w:w w:val="90"/>
          <w:sz w:val="21"/>
        </w:rPr>
        <w:t>：</w:t>
      </w:r>
      <w:r>
        <w:rPr>
          <w:w w:val="95"/>
          <w:sz w:val="21"/>
        </w:rPr>
        <w:t>平成 27 年＝100）</w:t>
      </w:r>
    </w:p>
    <w:p>
      <w:pPr>
        <w:spacing w:before="152"/>
        <w:ind w:left="208" w:right="0" w:firstLine="0"/>
        <w:jc w:val="left"/>
        <w:rPr>
          <w:sz w:val="17"/>
        </w:rPr>
      </w:pPr>
      <w:r>
        <w:rPr>
          <w:sz w:val="17"/>
        </w:rPr>
        <w:t>(事業所規模５人以上）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8"/>
        <w:gridCol w:w="974"/>
        <w:gridCol w:w="588"/>
        <w:gridCol w:w="245"/>
        <w:gridCol w:w="527"/>
        <w:gridCol w:w="766"/>
        <w:gridCol w:w="962"/>
        <w:gridCol w:w="590"/>
        <w:gridCol w:w="280"/>
        <w:gridCol w:w="494"/>
        <w:gridCol w:w="767"/>
        <w:gridCol w:w="722"/>
      </w:tblGrid>
      <w:tr>
        <w:trPr>
          <w:trHeight w:val="229" w:hRule="atLeast"/>
        </w:trPr>
        <w:tc>
          <w:tcPr>
            <w:tcW w:w="2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9" w:val="left" w:leader="none"/>
              </w:tabs>
              <w:spacing w:line="240" w:lineRule="auto" w:before="97"/>
              <w:ind w:lef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3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58" w:right="1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青森県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6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全</w:t>
            </w:r>
          </w:p>
        </w:tc>
        <w:tc>
          <w:tcPr>
            <w:tcW w:w="154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国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16" w:right="3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水準</w:t>
            </w:r>
          </w:p>
          <w:p>
            <w:pPr>
              <w:pStyle w:val="TableParagraph"/>
              <w:spacing w:line="240" w:lineRule="auto" w:before="43"/>
              <w:ind w:left="16" w:right="41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(全国＝100)</w:t>
            </w:r>
          </w:p>
        </w:tc>
      </w:tr>
      <w:tr>
        <w:trPr>
          <w:trHeight w:val="228" w:hRule="atLeast"/>
        </w:trPr>
        <w:tc>
          <w:tcPr>
            <w:tcW w:w="27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81" w:right="5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実数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前年比(差)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76" w:right="5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実数</w:t>
            </w:r>
          </w:p>
        </w:tc>
        <w:tc>
          <w:tcPr>
            <w:tcW w:w="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49"/>
              <w:rPr>
                <w:sz w:val="17"/>
              </w:rPr>
            </w:pPr>
            <w:r>
              <w:rPr>
                <w:w w:val="105"/>
                <w:sz w:val="17"/>
              </w:rPr>
              <w:t>前年比(差)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2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33"/>
              <w:rPr>
                <w:sz w:val="17"/>
              </w:rPr>
            </w:pPr>
            <w:r>
              <w:rPr>
                <w:sz w:val="17"/>
              </w:rPr>
              <w:t>１ 給 与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262,558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円</w:t>
            </w: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ind w:left="215"/>
              <w:rPr>
                <w:sz w:val="17"/>
              </w:rPr>
            </w:pPr>
            <w:r>
              <w:rPr>
                <w:sz w:val="17"/>
              </w:rPr>
              <w:t>4.2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316,966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w w:val="103"/>
                <w:sz w:val="17"/>
              </w:rPr>
              <w:t>円</w:t>
            </w:r>
          </w:p>
        </w:tc>
        <w:tc>
          <w:tcPr>
            <w:tcW w:w="2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ind w:left="171"/>
              <w:rPr>
                <w:sz w:val="17"/>
              </w:rPr>
            </w:pPr>
            <w:r>
              <w:rPr>
                <w:sz w:val="17"/>
              </w:rPr>
              <w:t>0.4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1"/>
              <w:rPr>
                <w:sz w:val="17"/>
              </w:rPr>
            </w:pPr>
            <w:r>
              <w:rPr>
                <w:sz w:val="17"/>
              </w:rPr>
              <w:t>82.8</w:t>
            </w:r>
          </w:p>
        </w:tc>
      </w:tr>
      <w:tr>
        <w:trPr>
          <w:trHeight w:val="244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3"/>
              <w:rPr>
                <w:sz w:val="17"/>
              </w:rPr>
            </w:pPr>
            <w:r>
              <w:rPr>
                <w:sz w:val="17"/>
              </w:rPr>
              <w:t>きまって支給する給与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223,533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円</w:t>
            </w: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ind w:left="215"/>
              <w:rPr>
                <w:sz w:val="17"/>
              </w:rPr>
            </w:pPr>
            <w:r>
              <w:rPr>
                <w:sz w:val="17"/>
              </w:rPr>
              <w:t>3.3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260,776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w w:val="103"/>
                <w:sz w:val="17"/>
              </w:rPr>
              <w:t>円</w:t>
            </w:r>
          </w:p>
        </w:tc>
        <w:tc>
          <w:tcPr>
            <w:tcW w:w="2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ind w:left="171"/>
              <w:rPr>
                <w:sz w:val="17"/>
              </w:rPr>
            </w:pPr>
            <w:r>
              <w:rPr>
                <w:sz w:val="17"/>
              </w:rPr>
              <w:t>0.4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1"/>
              <w:rPr>
                <w:sz w:val="17"/>
              </w:rPr>
            </w:pPr>
            <w:r>
              <w:rPr>
                <w:sz w:val="17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特別給与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39,025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円</w:t>
            </w: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527" w:type="dxa"/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3,266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円 )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56,190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w w:val="103"/>
                <w:sz w:val="17"/>
              </w:rPr>
              <w:t>円</w:t>
            </w:r>
          </w:p>
        </w:tc>
        <w:tc>
          <w:tcPr>
            <w:tcW w:w="2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ind w:left="171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1"/>
              <w:rPr>
                <w:sz w:val="17"/>
              </w:rPr>
            </w:pPr>
            <w:r>
              <w:rPr>
                <w:sz w:val="17"/>
              </w:rPr>
              <w:t>69.5</w:t>
            </w:r>
          </w:p>
        </w:tc>
      </w:tr>
      <w:tr>
        <w:trPr>
          <w:trHeight w:val="244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２ </w:t>
            </w:r>
            <w:r>
              <w:rPr>
                <w:w w:val="105"/>
                <w:sz w:val="17"/>
              </w:rPr>
              <w:t>労働時間数及び出勤日数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総労働時間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155.5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時間</w:t>
            </w: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ind w:left="215"/>
              <w:rPr>
                <w:sz w:val="17"/>
              </w:rPr>
            </w:pPr>
            <w:r>
              <w:rPr>
                <w:sz w:val="17"/>
              </w:rPr>
              <w:t>1.9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143.4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時間</w:t>
            </w:r>
          </w:p>
        </w:tc>
        <w:tc>
          <w:tcPr>
            <w:tcW w:w="2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w w:val="93"/>
                <w:sz w:val="17"/>
              </w:rPr>
              <w:t>3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所定内労働時間数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143.3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時間</w:t>
            </w: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ind w:left="215"/>
              <w:rPr>
                <w:sz w:val="17"/>
              </w:rPr>
            </w:pPr>
            <w:r>
              <w:rPr>
                <w:sz w:val="17"/>
              </w:rPr>
              <w:t>1.1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132.5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時間</w:t>
            </w:r>
          </w:p>
        </w:tc>
        <w:tc>
          <w:tcPr>
            <w:tcW w:w="2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w w:val="93"/>
                <w:sz w:val="17"/>
              </w:rPr>
              <w:t>4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所定外労働時間数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12.2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時間</w:t>
            </w: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12.3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10.9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時間</w:t>
            </w:r>
          </w:p>
        </w:tc>
        <w:tc>
          <w:tcPr>
            <w:tcW w:w="2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ind w:left="171"/>
              <w:rPr>
                <w:sz w:val="17"/>
              </w:rPr>
            </w:pPr>
            <w:r>
              <w:rPr>
                <w:sz w:val="17"/>
              </w:rPr>
              <w:t>1.0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出勤日数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20.4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日</w:t>
            </w: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527" w:type="dxa"/>
          </w:tcPr>
          <w:p>
            <w:pPr>
              <w:pStyle w:val="TableParagraph"/>
              <w:ind w:left="214"/>
              <w:rPr>
                <w:sz w:val="17"/>
              </w:rPr>
            </w:pPr>
            <w:r>
              <w:rPr>
                <w:sz w:val="17"/>
              </w:rPr>
              <w:t>0.1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日 )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18.6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w w:val="103"/>
                <w:sz w:val="17"/>
              </w:rPr>
              <w:t>日</w:t>
            </w:r>
          </w:p>
        </w:tc>
        <w:tc>
          <w:tcPr>
            <w:tcW w:w="280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494" w:type="dxa"/>
          </w:tcPr>
          <w:p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日 )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３ 雇 用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労働者数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404,959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人</w:t>
            </w: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ind w:left="215"/>
              <w:rPr>
                <w:sz w:val="17"/>
              </w:rPr>
            </w:pPr>
            <w:r>
              <w:rPr>
                <w:sz w:val="17"/>
              </w:rPr>
              <w:t>1.0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50,031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千人</w:t>
            </w:r>
          </w:p>
        </w:tc>
        <w:tc>
          <w:tcPr>
            <w:tcW w:w="2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ind w:left="171"/>
              <w:rPr>
                <w:sz w:val="17"/>
              </w:rPr>
            </w:pPr>
            <w:r>
              <w:rPr>
                <w:sz w:val="17"/>
              </w:rPr>
              <w:t>2.5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入職率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1.79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527" w:type="dxa"/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spacing w:val="6"/>
                <w:w w:val="93"/>
                <w:sz w:val="17"/>
              </w:rPr>
              <w:t>1</w:t>
            </w:r>
            <w:r>
              <w:rPr>
                <w:w w:val="93"/>
                <w:sz w:val="17"/>
              </w:rPr>
              <w:t>8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41"/>
              <w:rPr>
                <w:sz w:val="15"/>
              </w:rPr>
            </w:pPr>
            <w:r>
              <w:rPr>
                <w:w w:val="95"/>
                <w:sz w:val="15"/>
              </w:rPr>
              <w:t>ポイント)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2.15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280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9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494" w:type="dxa"/>
          </w:tcPr>
          <w:p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0.00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0"/>
              <w:rPr>
                <w:sz w:val="15"/>
              </w:rPr>
            </w:pPr>
            <w:r>
              <w:rPr>
                <w:w w:val="95"/>
                <w:sz w:val="15"/>
              </w:rPr>
              <w:t>ポイント)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3"/>
              <w:rPr>
                <w:sz w:val="17"/>
              </w:rPr>
            </w:pPr>
            <w:r>
              <w:rPr>
                <w:w w:val="105"/>
                <w:sz w:val="17"/>
              </w:rPr>
              <w:t>離職率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1.71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527" w:type="dxa"/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spacing w:val="6"/>
                <w:w w:val="93"/>
                <w:sz w:val="17"/>
              </w:rPr>
              <w:t>1</w:t>
            </w:r>
            <w:r>
              <w:rPr>
                <w:w w:val="93"/>
                <w:sz w:val="17"/>
              </w:rPr>
              <w:t>6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41"/>
              <w:rPr>
                <w:sz w:val="15"/>
              </w:rPr>
            </w:pPr>
            <w:r>
              <w:rPr>
                <w:w w:val="95"/>
                <w:sz w:val="15"/>
              </w:rPr>
              <w:t>ポイント)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2.04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280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494" w:type="dxa"/>
          </w:tcPr>
          <w:p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0.00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0"/>
              <w:rPr>
                <w:sz w:val="15"/>
              </w:rPr>
            </w:pPr>
            <w:r>
              <w:rPr>
                <w:w w:val="95"/>
                <w:sz w:val="15"/>
              </w:rPr>
              <w:t>ポイント)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413"/>
              <w:rPr>
                <w:sz w:val="17"/>
              </w:rPr>
            </w:pPr>
            <w:r>
              <w:rPr>
                <w:sz w:val="17"/>
              </w:rPr>
              <w:t>パー</w:t>
            </w:r>
            <w:r>
              <w:rPr>
                <w:w w:val="95"/>
                <w:sz w:val="17"/>
              </w:rPr>
              <w:t>ト</w:t>
            </w:r>
            <w:r>
              <w:rPr>
                <w:sz w:val="17"/>
              </w:rPr>
              <w:t>タイム労働者比率</w:t>
            </w:r>
          </w:p>
        </w:tc>
        <w:tc>
          <w:tcPr>
            <w:tcW w:w="9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8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26.4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2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32"/>
              <w:jc w:val="right"/>
              <w:rPr>
                <w:sz w:val="17"/>
              </w:rPr>
            </w:pPr>
            <w:r>
              <w:rPr>
                <w:spacing w:val="6"/>
                <w:w w:val="156"/>
                <w:sz w:val="17"/>
              </w:rPr>
              <w:t>-</w:t>
            </w:r>
            <w:r>
              <w:rPr>
                <w:spacing w:val="6"/>
                <w:w w:val="93"/>
                <w:sz w:val="17"/>
              </w:rPr>
              <w:t>0</w:t>
            </w:r>
            <w:r>
              <w:rPr>
                <w:spacing w:val="4"/>
                <w:w w:val="75"/>
                <w:sz w:val="17"/>
              </w:rPr>
              <w:t>.</w:t>
            </w:r>
            <w:r>
              <w:rPr>
                <w:w w:val="93"/>
                <w:sz w:val="17"/>
              </w:rPr>
              <w:t>5</w:t>
            </w:r>
          </w:p>
        </w:tc>
        <w:tc>
          <w:tcPr>
            <w:tcW w:w="76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41"/>
              <w:rPr>
                <w:sz w:val="15"/>
              </w:rPr>
            </w:pPr>
            <w:r>
              <w:rPr>
                <w:w w:val="95"/>
                <w:sz w:val="15"/>
              </w:rPr>
              <w:t>ポイント)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9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30.77</w:t>
            </w:r>
          </w:p>
        </w:tc>
        <w:tc>
          <w:tcPr>
            <w:tcW w:w="59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w w:val="103"/>
                <w:sz w:val="17"/>
              </w:rPr>
              <w:t>％</w:t>
            </w:r>
          </w:p>
        </w:tc>
        <w:tc>
          <w:tcPr>
            <w:tcW w:w="2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8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</w:p>
        </w:tc>
        <w:tc>
          <w:tcPr>
            <w:tcW w:w="4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4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0.06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0"/>
              <w:rPr>
                <w:sz w:val="15"/>
              </w:rPr>
            </w:pPr>
            <w:r>
              <w:rPr>
                <w:w w:val="95"/>
                <w:sz w:val="15"/>
              </w:rPr>
              <w:t>ポイント)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62"/>
        <w:ind w:left="2330" w:right="0" w:firstLine="0"/>
        <w:jc w:val="left"/>
        <w:rPr>
          <w:sz w:val="18"/>
        </w:rPr>
      </w:pPr>
      <w:r>
        <w:rPr>
          <w:sz w:val="18"/>
        </w:rPr>
        <w:t>賃金指数の推移（調査産業計、事業所規模５人以上）（Ｈ27＝100）</w:t>
      </w:r>
    </w:p>
    <w:p>
      <w:pPr>
        <w:pStyle w:val="Heading2"/>
        <w:spacing w:before="40"/>
        <w:ind w:right="7969"/>
        <w:jc w:val="center"/>
      </w:pPr>
      <w:r>
        <w:rPr/>
        <w:pict>
          <v:group style="position:absolute;margin-left:147.768661pt;margin-top:9.953425pt;width:312.650pt;height:135.8pt;mso-position-horizontal-relative:page;mso-position-vertical-relative:paragraph;z-index:1120" coordorigin="2955,199" coordsize="6253,2716">
            <v:shape style="position:absolute;left:808;top:6490;width:5736;height:2698" coordorigin="809,6490" coordsize="5736,2698" path="m3044,2905l9118,2905m3044,2456l9118,2456m3044,2005l9118,2005m3044,1108l9118,1108m3044,660l9118,660m3044,209l9118,209e" filled="false" stroked="true" strokeweight=".49402pt" strokecolor="#000000">
              <v:path arrowok="t"/>
              <v:stroke dashstyle="shortdot"/>
            </v:shape>
            <v:rect style="position:absolute;left:3044;top:208;width:6074;height:2697" filled="false" stroked="true" strokeweight=".968911pt" strokecolor="#000000">
              <v:stroke dashstyle="solid"/>
            </v:rect>
            <v:line style="position:absolute" from="3044,1557" to="9118,1557" stroked="true" strokeweight="1.199403pt" strokecolor="#000000">
              <v:stroke dashstyle="solid"/>
            </v:line>
            <v:shape style="position:absolute;left:3044;top:523;width:6074;height:1034" coordorigin="3044,523" coordsize="6074,1034" path="m3044,1401l4058,1264,5070,748,6081,907,7093,1557,8107,1468,9118,523e" filled="false" stroked="true" strokeweight="2.402821pt" strokecolor="#00af50">
              <v:path arrowok="t"/>
              <v:stroke dashstyle="solid"/>
            </v:shape>
            <v:shape style="position:absolute;left:2961;top:1319;width:170;height:162" type="#_x0000_t75" stroked="false">
              <v:imagedata r:id="rId6" o:title=""/>
            </v:shape>
            <v:shape style="position:absolute;left:3972;top:1185;width:170;height:162" type="#_x0000_t75" stroked="false">
              <v:imagedata r:id="rId6" o:title=""/>
            </v:shape>
            <v:shape style="position:absolute;left:4984;top:669;width:170;height:162" type="#_x0000_t75" stroked="false">
              <v:imagedata r:id="rId7" o:title=""/>
            </v:shape>
            <v:shape style="position:absolute;left:5998;top:825;width:170;height:162" type="#_x0000_t75" stroked="false">
              <v:imagedata r:id="rId7" o:title=""/>
            </v:shape>
            <v:shape style="position:absolute;left:7009;top:1477;width:170;height:162" type="#_x0000_t75" stroked="false">
              <v:imagedata r:id="rId6" o:title=""/>
            </v:shape>
            <v:shape style="position:absolute;left:8021;top:1386;width:170;height:162" type="#_x0000_t75" stroked="false">
              <v:imagedata r:id="rId8" o:title=""/>
            </v:shape>
            <v:shape style="position:absolute;left:9035;top:443;width:170;height:162" type="#_x0000_t75" stroked="false">
              <v:imagedata r:id="rId7" o:title=""/>
            </v:shape>
            <v:shape style="position:absolute;left:3044;top:770;width:6074;height:787" coordorigin="3044,770" coordsize="6074,787" path="m3044,1468l4058,1288,5070,928,6081,1017,7093,1557,8107,1511,9118,770e" filled="false" stroked="true" strokeweight="2.401159pt" strokecolor="#000000">
              <v:path arrowok="t"/>
              <v:stroke dashstyle="solid"/>
            </v:shape>
            <v:shape style="position:absolute;left:2955;top:1382;width:179;height:169" type="#_x0000_t75" stroked="false">
              <v:imagedata r:id="rId9" o:title=""/>
            </v:shape>
            <v:shape style="position:absolute;left:3966;top:1202;width:179;height:169" type="#_x0000_t75" stroked="false">
              <v:imagedata r:id="rId9" o:title=""/>
            </v:shape>
            <v:shape style="position:absolute;left:4978;top:842;width:179;height:169" type="#_x0000_t75" stroked="false">
              <v:imagedata r:id="rId10" o:title=""/>
            </v:shape>
            <v:shape style="position:absolute;left:5992;top:933;width:179;height:169" type="#_x0000_t75" stroked="false">
              <v:imagedata r:id="rId10" o:title=""/>
            </v:shape>
            <v:shape style="position:absolute;left:7003;top:1473;width:179;height:169" type="#_x0000_t75" stroked="false">
              <v:imagedata r:id="rId10" o:title=""/>
            </v:shape>
            <v:shape style="position:absolute;left:8015;top:1427;width:179;height:169" type="#_x0000_t75" stroked="false">
              <v:imagedata r:id="rId11" o:title=""/>
            </v:shape>
            <v:shape style="position:absolute;left:9029;top:686;width:179;height:169" type="#_x0000_t75" stroked="false">
              <v:imagedata r:id="rId10" o:title=""/>
            </v:shape>
            <w10:wrap type="none"/>
          </v:group>
        </w:pict>
      </w:r>
      <w:r>
        <w:rPr/>
        <w:t>106</w:t>
      </w:r>
    </w:p>
    <w:p>
      <w:pPr>
        <w:spacing w:before="128"/>
        <w:ind w:left="1222" w:right="7969" w:firstLine="0"/>
        <w:jc w:val="center"/>
        <w:rPr>
          <w:sz w:val="24"/>
        </w:rPr>
      </w:pPr>
      <w:r>
        <w:rPr>
          <w:sz w:val="24"/>
        </w:rPr>
        <w:t>104</w:t>
      </w:r>
    </w:p>
    <w:p>
      <w:pPr>
        <w:spacing w:before="128"/>
        <w:ind w:left="1222" w:right="7969" w:firstLine="0"/>
        <w:jc w:val="center"/>
        <w:rPr>
          <w:sz w:val="24"/>
        </w:rPr>
      </w:pPr>
      <w:r>
        <w:rPr>
          <w:sz w:val="24"/>
        </w:rPr>
        <w:t>102</w:t>
      </w:r>
    </w:p>
    <w:p>
      <w:pPr>
        <w:spacing w:before="128"/>
        <w:ind w:left="1222" w:right="7969" w:firstLine="0"/>
        <w:jc w:val="center"/>
        <w:rPr>
          <w:sz w:val="24"/>
        </w:rPr>
      </w:pPr>
      <w:r>
        <w:rPr>
          <w:sz w:val="24"/>
        </w:rPr>
        <w:t>100</w:t>
      </w:r>
    </w:p>
    <w:p>
      <w:pPr>
        <w:spacing w:before="128"/>
        <w:ind w:left="1222" w:right="7842" w:firstLine="0"/>
        <w:jc w:val="center"/>
        <w:rPr>
          <w:sz w:val="24"/>
        </w:rPr>
      </w:pPr>
      <w:r>
        <w:rPr>
          <w:sz w:val="24"/>
        </w:rPr>
        <w:t>98</w:t>
      </w:r>
    </w:p>
    <w:p>
      <w:pPr>
        <w:spacing w:before="127"/>
        <w:ind w:left="1222" w:right="7842" w:firstLine="0"/>
        <w:jc w:val="center"/>
        <w:rPr>
          <w:sz w:val="24"/>
        </w:rPr>
      </w:pPr>
      <w:r>
        <w:rPr>
          <w:sz w:val="24"/>
        </w:rPr>
        <w:t>96</w:t>
      </w:r>
    </w:p>
    <w:p>
      <w:pPr>
        <w:spacing w:before="128"/>
        <w:ind w:left="1222" w:right="7842" w:firstLine="0"/>
        <w:jc w:val="center"/>
        <w:rPr>
          <w:sz w:val="24"/>
        </w:rPr>
      </w:pPr>
      <w:r>
        <w:rPr>
          <w:sz w:val="24"/>
        </w:rPr>
        <w:t>94</w:t>
      </w:r>
    </w:p>
    <w:p>
      <w:pPr>
        <w:tabs>
          <w:tab w:pos="2781" w:val="left" w:leader="none"/>
          <w:tab w:pos="3794" w:val="left" w:leader="none"/>
          <w:tab w:pos="4807" w:val="left" w:leader="none"/>
          <w:tab w:pos="5819" w:val="left" w:leader="none"/>
          <w:tab w:pos="6832" w:val="left" w:leader="none"/>
          <w:tab w:pos="7845" w:val="left" w:leader="none"/>
        </w:tabs>
        <w:spacing w:line="294" w:lineRule="exact" w:before="0"/>
        <w:ind w:left="1687" w:right="0" w:firstLine="0"/>
        <w:jc w:val="left"/>
        <w:rPr>
          <w:sz w:val="24"/>
        </w:rPr>
      </w:pPr>
      <w:r>
        <w:rPr/>
        <w:pict>
          <v:shape style="position:absolute;margin-left:150.824677pt;margin-top:16.260693pt;width:314.9pt;height:18pt;mso-position-horizontal-relative:page;mso-position-vertical-relative:paragraph;z-index:-976;mso-wrap-distance-left:0;mso-wrap-distance-right:0" type="#_x0000_t202" filled="false" stroked="true" strokeweight=".239933pt" strokecolor="#000000">
            <v:textbox inset="0,0,0,0">
              <w:txbxContent>
                <w:p>
                  <w:pPr>
                    <w:pStyle w:val="BodyText"/>
                    <w:tabs>
                      <w:tab w:pos="3784" w:val="left" w:leader="none"/>
                    </w:tabs>
                    <w:spacing w:before="28"/>
                    <w:ind w:left="1187"/>
                  </w:pPr>
                  <w:r>
                    <w:rPr>
                      <w:w w:val="105"/>
                    </w:rPr>
                    <w:t>現金給与総額指数</w:t>
                    <w:tab/>
                  </w:r>
                  <w:r>
                    <w:rPr/>
                    <w:drawing>
                      <wp:inline distT="0" distB="0" distL="0" distR="0">
                        <wp:extent cx="259543" cy="107346"/>
                        <wp:effectExtent l="0" t="0" r="0" b="0"/>
                        <wp:docPr id="1" name="image7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image7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543" cy="1073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</w:r>
                  <w:r>
                    <w:rPr>
                      <w:rFonts w:ascii="Times New Roman" w:eastAsia="Times New Roman"/>
                      <w:spacing w:val="-14"/>
                    </w:rPr>
                    <w:t> </w:t>
                  </w:r>
                  <w:r>
                    <w:rPr>
                      <w:w w:val="105"/>
                    </w:rPr>
                    <w:t>定期給与指数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7.80191pt;margin-top:21.268188pt;width:20.350pt;height:8.1pt;mso-position-horizontal-relative:page;mso-position-vertical-relative:paragraph;z-index:1144" coordorigin="3756,425" coordsize="407,162">
            <v:line style="position:absolute" from="3756,505" to="4163,505" stroked="true" strokeweight="2.398806pt" strokecolor="#00af50">
              <v:stroke dashstyle="solid"/>
            </v:line>
            <v:shape style="position:absolute;left:3876;top:425;width:170;height:162" type="#_x0000_t75" stroked="false">
              <v:imagedata r:id="rId7" o:title=""/>
            </v:shape>
            <w10:wrap type="none"/>
          </v:group>
        </w:pict>
      </w:r>
      <w:r>
        <w:rPr>
          <w:sz w:val="24"/>
        </w:rPr>
        <w:t>H23年</w:t>
        <w:tab/>
        <w:t>24年</w:t>
        <w:tab/>
        <w:t>25年</w:t>
        <w:tab/>
        <w:t>26年</w:t>
        <w:tab/>
        <w:t>27年</w:t>
        <w:tab/>
        <w:t>28年</w:t>
        <w:tab/>
        <w:t>29年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line="224" w:lineRule="exact" w:before="63"/>
        <w:ind w:left="2344" w:right="0" w:firstLine="0"/>
        <w:jc w:val="left"/>
        <w:rPr>
          <w:sz w:val="18"/>
        </w:rPr>
      </w:pPr>
      <w:r>
        <w:rPr>
          <w:sz w:val="18"/>
        </w:rPr>
        <w:t>労働時間指数の推移（調査産業計、事業所規模５人以上）（Ｈ27＝100）</w:t>
      </w:r>
    </w:p>
    <w:p>
      <w:pPr>
        <w:pStyle w:val="Heading2"/>
        <w:spacing w:line="305" w:lineRule="exact" w:before="0"/>
        <w:ind w:left="1408"/>
      </w:pPr>
      <w:r>
        <w:rPr/>
        <w:pict>
          <v:group style="position:absolute;margin-left:148.573013pt;margin-top:7.232231pt;width:311.850pt;height:129.1pt;mso-position-horizontal-relative:page;mso-position-vertical-relative:paragraph;z-index:1168" coordorigin="2971,145" coordsize="6237,2582">
            <v:shape style="position:absolute;left:652;top:3858;width:6082;height:512" coordorigin="653,3858" coordsize="6082,512" path="m3051,2717l9131,2717m3051,2206l9131,2206e" filled="false" stroked="true" strokeweight=".239949pt" strokecolor="#000000">
              <v:path arrowok="t"/>
              <v:stroke dashstyle="shortdot"/>
            </v:shape>
            <v:shape style="position:absolute;left:3050;top:1178;width:6081;height:514" coordorigin="3051,1179" coordsize="6081,514" path="m3097,1692l9131,1692m6137,1179l9131,1179m3051,1179l6039,1179e" filled="false" stroked="true" strokeweight=".239956pt" strokecolor="#000000">
              <v:path arrowok="t"/>
              <v:stroke dashstyle="shortdot"/>
            </v:shape>
            <v:line style="position:absolute" from="3051,154" to="9131,154" stroked="true" strokeweight=".239956pt" strokecolor="#000000">
              <v:stroke dashstyle="shortdot"/>
            </v:line>
            <v:rect style="position:absolute;left:3050;top:154;width:6081;height:2563" filled="false" stroked="true" strokeweight=".959814pt" strokecolor="#000000">
              <v:stroke dashstyle="solid"/>
            </v:rect>
            <v:shape style="position:absolute;left:3050;top:665;width:6081;height:2" coordorigin="3051,665" coordsize="6081,0" path="m7152,665l9131,665m3051,665l7054,665e" filled="false" stroked="true" strokeweight="1.199778pt" strokecolor="#000000">
              <v:path arrowok="t"/>
              <v:stroke dashstyle="solid"/>
            </v:shape>
            <v:shape style="position:absolute;left:3050;top:605;width:6081;height:132" coordorigin="3051,605" coordsize="6081,132" path="m3051,651l4063,646,5078,646,6091,605,7103,665,8118,737,9131,641e" filled="false" stroked="true" strokeweight="2.399555pt" strokecolor="#006fc0">
              <v:path arrowok="t"/>
              <v:stroke dashstyle="solid"/>
            </v:shape>
            <v:shape style="position:absolute;left:2971;top:572;width:154;height:154" type="#_x0000_t75" stroked="false">
              <v:imagedata r:id="rId13" o:title=""/>
            </v:shape>
            <v:shape style="position:absolute;left:3986;top:567;width:154;height:154" type="#_x0000_t75" stroked="false">
              <v:imagedata r:id="rId14" o:title=""/>
            </v:shape>
            <v:shape style="position:absolute;left:4998;top:567;width:154;height:154" type="#_x0000_t75" stroked="false">
              <v:imagedata r:id="rId15" o:title=""/>
            </v:shape>
            <v:shape style="position:absolute;left:6011;top:526;width:154;height:154" type="#_x0000_t75" stroked="false">
              <v:imagedata r:id="rId16" o:title=""/>
            </v:shape>
            <v:shape style="position:absolute;left:7026;top:589;width:154;height:154" type="#_x0000_t75" stroked="false">
              <v:imagedata r:id="rId15" o:title=""/>
            </v:shape>
            <v:shape style="position:absolute;left:8039;top:661;width:154;height:154" type="#_x0000_t75" stroked="false">
              <v:imagedata r:id="rId16" o:title=""/>
            </v:shape>
            <v:shape style="position:absolute;left:9053;top:562;width:154;height:154" type="#_x0000_t75" stroked="false">
              <v:imagedata r:id="rId17" o:title=""/>
            </v:shape>
            <v:shape style="position:absolute;left:3050;top:372;width:6081;height:1303" coordorigin="3051,373" coordsize="6081,1303" path="m3051,1675l4063,1589,5078,1553,6091,1200,7103,665,8118,968,9131,373e" filled="false" stroked="true" strokeweight="2.399549pt" strokecolor="#ff0000">
              <v:path arrowok="t"/>
              <v:stroke dashstyle="solid"/>
            </v:shape>
            <v:shape style="position:absolute;left:2971;top:1599;width:154;height:154" type="#_x0000_t75" stroked="false">
              <v:imagedata r:id="rId18" o:title=""/>
            </v:shape>
            <v:shape style="position:absolute;left:3986;top:1512;width:154;height:154" type="#_x0000_t75" stroked="false">
              <v:imagedata r:id="rId19" o:title=""/>
            </v:shape>
            <v:shape style="position:absolute;left:4998;top:1476;width:154;height:154" type="#_x0000_t75" stroked="false">
              <v:imagedata r:id="rId20" o:title=""/>
            </v:shape>
            <v:shape style="position:absolute;left:6011;top:1121;width:154;height:154" type="#_x0000_t75" stroked="false">
              <v:imagedata r:id="rId19" o:title=""/>
            </v:shape>
            <v:shape style="position:absolute;left:7026;top:589;width:154;height:154" type="#_x0000_t75" stroked="false">
              <v:imagedata r:id="rId19" o:title=""/>
            </v:shape>
            <v:shape style="position:absolute;left:8039;top:891;width:154;height:154" type="#_x0000_t75" stroked="false">
              <v:imagedata r:id="rId20" o:title=""/>
            </v:shape>
            <v:shape style="position:absolute;left:9053;top:296;width:154;height:154" type="#_x0000_t75" stroked="false">
              <v:imagedata r:id="rId21" o:title=""/>
            </v:shape>
            <w10:wrap type="none"/>
          </v:group>
        </w:pict>
      </w:r>
      <w:r>
        <w:rPr/>
        <w:t>110</w:t>
      </w:r>
    </w:p>
    <w:p>
      <w:pPr>
        <w:pStyle w:val="BodyText"/>
        <w:spacing w:before="8"/>
        <w:rPr>
          <w:sz w:val="10"/>
        </w:rPr>
      </w:pPr>
    </w:p>
    <w:p>
      <w:pPr>
        <w:spacing w:before="50"/>
        <w:ind w:left="1408" w:right="0" w:firstLine="0"/>
        <w:jc w:val="left"/>
        <w:rPr>
          <w:sz w:val="24"/>
        </w:rPr>
      </w:pPr>
      <w:r>
        <w:rPr>
          <w:sz w:val="24"/>
        </w:rPr>
        <w:t>100</w:t>
      </w:r>
    </w:p>
    <w:p>
      <w:pPr>
        <w:pStyle w:val="BodyText"/>
        <w:spacing w:before="7"/>
        <w:rPr>
          <w:sz w:val="10"/>
        </w:rPr>
      </w:pPr>
    </w:p>
    <w:p>
      <w:pPr>
        <w:spacing w:before="50"/>
        <w:ind w:left="1528" w:right="0" w:firstLine="0"/>
        <w:jc w:val="left"/>
        <w:rPr>
          <w:sz w:val="24"/>
        </w:rPr>
      </w:pPr>
      <w:r>
        <w:rPr>
          <w:sz w:val="24"/>
        </w:rPr>
        <w:t>90</w:t>
      </w:r>
    </w:p>
    <w:p>
      <w:pPr>
        <w:pStyle w:val="BodyText"/>
        <w:spacing w:before="8"/>
        <w:rPr>
          <w:sz w:val="10"/>
        </w:rPr>
      </w:pPr>
    </w:p>
    <w:p>
      <w:pPr>
        <w:spacing w:before="50"/>
        <w:ind w:left="1528" w:right="0" w:firstLine="0"/>
        <w:jc w:val="left"/>
        <w:rPr>
          <w:sz w:val="24"/>
        </w:rPr>
      </w:pPr>
      <w:r>
        <w:rPr>
          <w:sz w:val="24"/>
        </w:rPr>
        <w:t>80</w:t>
      </w:r>
    </w:p>
    <w:p>
      <w:pPr>
        <w:pStyle w:val="BodyText"/>
        <w:spacing w:before="8"/>
        <w:rPr>
          <w:sz w:val="10"/>
        </w:rPr>
      </w:pPr>
    </w:p>
    <w:p>
      <w:pPr>
        <w:spacing w:before="50"/>
        <w:ind w:left="1528" w:right="0" w:firstLine="0"/>
        <w:jc w:val="left"/>
        <w:rPr>
          <w:sz w:val="24"/>
        </w:rPr>
      </w:pPr>
      <w:r>
        <w:rPr>
          <w:sz w:val="24"/>
        </w:rPr>
        <w:t>70</w:t>
      </w:r>
    </w:p>
    <w:p>
      <w:pPr>
        <w:pStyle w:val="BodyText"/>
        <w:spacing w:before="7"/>
        <w:rPr>
          <w:sz w:val="10"/>
        </w:rPr>
      </w:pPr>
    </w:p>
    <w:p>
      <w:pPr>
        <w:spacing w:line="308" w:lineRule="exact" w:before="50"/>
        <w:ind w:left="1528" w:right="0" w:firstLine="0"/>
        <w:jc w:val="left"/>
        <w:rPr>
          <w:sz w:val="24"/>
        </w:rPr>
      </w:pPr>
      <w:r>
        <w:rPr>
          <w:sz w:val="24"/>
        </w:rPr>
        <w:t>60</w:t>
      </w:r>
    </w:p>
    <w:p>
      <w:pPr>
        <w:tabs>
          <w:tab w:pos="2804" w:val="left" w:leader="none"/>
          <w:tab w:pos="3818" w:val="left" w:leader="none"/>
          <w:tab w:pos="4832" w:val="left" w:leader="none"/>
          <w:tab w:pos="5846" w:val="left" w:leader="none"/>
          <w:tab w:pos="6860" w:val="left" w:leader="none"/>
          <w:tab w:pos="7874" w:val="left" w:leader="none"/>
        </w:tabs>
        <w:spacing w:line="308" w:lineRule="exact" w:before="0" w:after="13"/>
        <w:ind w:left="1713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5735">
            <wp:simplePos x="0" y="0"/>
            <wp:positionH relativeFrom="page">
              <wp:posOffset>2257120</wp:posOffset>
            </wp:positionH>
            <wp:positionV relativeFrom="paragraph">
              <wp:posOffset>260860</wp:posOffset>
            </wp:positionV>
            <wp:extent cx="245019" cy="98012"/>
            <wp:effectExtent l="0" t="0" r="0" b="0"/>
            <wp:wrapNone/>
            <wp:docPr id="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19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8.974213pt;margin-top:20.480204pt;width:19.2pt;height:7.7pt;mso-position-horizontal-relative:page;mso-position-vertical-relative:paragraph;z-index:-19696" coordorigin="6179,410" coordsize="384,154">
            <v:shape style="position:absolute;left:6292;top:409;width:271;height:154" type="#_x0000_t75" stroked="false">
              <v:imagedata r:id="rId23" o:title=""/>
            </v:shape>
            <v:line style="position:absolute" from="6179,489" to="6322,489" stroked="true" strokeweight="2.399555pt" strokecolor="#ff0000">
              <v:stroke dashstyle="solid"/>
            </v:line>
            <w10:wrap type="none"/>
          </v:group>
        </w:pict>
      </w:r>
      <w:r>
        <w:rPr>
          <w:sz w:val="24"/>
        </w:rPr>
        <w:t>H23年</w:t>
        <w:tab/>
        <w:t>24年</w:t>
        <w:tab/>
        <w:t>25年</w:t>
        <w:tab/>
        <w:t>26年</w:t>
        <w:tab/>
        <w:t>27年</w:t>
        <w:tab/>
        <w:t>28年</w:t>
        <w:tab/>
        <w:t>29年</w:t>
      </w:r>
    </w:p>
    <w:p>
      <w:pPr>
        <w:pStyle w:val="BodyText"/>
        <w:ind w:left="2082"/>
        <w:rPr>
          <w:sz w:val="20"/>
        </w:rPr>
      </w:pPr>
      <w:r>
        <w:rPr>
          <w:sz w:val="20"/>
        </w:rPr>
        <w:pict>
          <v:shape style="width:292.850pt;height:16.45pt;mso-position-horizontal-relative:char;mso-position-vertical-relative:line" type="#_x0000_t202" filled="false" stroked="true" strokeweight=".239955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3497" w:val="left" w:leader="none"/>
                    </w:tabs>
                    <w:spacing w:before="9"/>
                    <w:ind w:left="871"/>
                  </w:pPr>
                  <w:r>
                    <w:rPr/>
                    <w:t>総実労働時間指数</w:t>
                    <w:tab/>
                    <w:t>所定外労働時間指数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pgSz w:w="11910" w:h="16840"/>
      <w:pgMar w:header="0" w:footer="618" w:top="1280" w:bottom="8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799988pt;margin-top:798.596313pt;width:30.35pt;height:15.55pt;mso-position-horizontal-relative:page;mso-position-vertical-relative:page;z-index:-19888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9"/>
      <w:ind w:left="1222" w:right="1249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before="50"/>
      <w:ind w:left="1222"/>
      <w:outlineLvl w:val="2"/>
    </w:pPr>
    <w:rPr>
      <w:rFonts w:ascii="Arial Unicode MS" w:hAnsi="Arial Unicode MS" w:eastAsia="Arial Unicode MS" w:cs="Arial Unicode MS"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12" w:lineRule="exac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青森県企画部</dc:creator>
  <dc:title>５月の調査結果の概要</dc:title>
  <dcterms:created xsi:type="dcterms:W3CDTF">2019-02-20T00:32:06Z</dcterms:created>
  <dcterms:modified xsi:type="dcterms:W3CDTF">2019-02-20T00:32:06Z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